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8973A" w14:textId="77777777" w:rsidR="009C0FC6" w:rsidRDefault="009C0FC6" w:rsidP="009C0FC6">
      <w:pPr>
        <w:pStyle w:val="BodyText"/>
        <w:pageBreakBefore/>
      </w:pPr>
      <w:bookmarkStart w:id="0" w:name="_Hlk19537736"/>
      <w:bookmarkStart w:id="1" w:name="_GoBack"/>
      <w:bookmarkEnd w:id="0"/>
      <w:bookmarkEnd w:id="1"/>
    </w:p>
    <w:p w14:paraId="7D1E88D3" w14:textId="6974EC91" w:rsidR="009C0FC6" w:rsidRDefault="009C0FC6" w:rsidP="005E6151">
      <w:pPr>
        <w:suppressAutoHyphens w:val="0"/>
        <w:jc w:val="right"/>
        <w:rPr>
          <w:lang w:eastAsia="en-US"/>
        </w:rPr>
      </w:pPr>
      <w:r>
        <w:rPr>
          <w:b/>
        </w:rPr>
        <w:t xml:space="preserve">УДК </w:t>
      </w:r>
      <w:hyperlink r:id="rId6" w:history="1">
        <w:r w:rsidR="005E6151" w:rsidRPr="005E6151">
          <w:rPr>
            <w:b/>
          </w:rPr>
          <w:t>004.65</w:t>
        </w:r>
      </w:hyperlink>
      <w:r w:rsidRPr="005E6151">
        <w:rPr>
          <w:b/>
        </w:rPr>
        <w:t>,</w:t>
      </w:r>
      <w:r>
        <w:rPr>
          <w:b/>
        </w:rPr>
        <w:t xml:space="preserve"> 004.62</w:t>
      </w:r>
    </w:p>
    <w:p w14:paraId="1773F121" w14:textId="4ED5DE3F" w:rsidR="009C0FC6" w:rsidRDefault="009C0FC6" w:rsidP="009C0FC6">
      <w:pPr>
        <w:jc w:val="right"/>
      </w:pPr>
      <w:r>
        <w:rPr>
          <w:b/>
        </w:rPr>
        <w:t>Тат</w:t>
      </w:r>
      <w:r w:rsidRPr="009C0FC6">
        <w:rPr>
          <w:b/>
        </w:rPr>
        <w:t>’</w:t>
      </w:r>
      <w:r>
        <w:rPr>
          <w:b/>
          <w:lang w:val="uk-UA"/>
        </w:rPr>
        <w:t>янчук</w:t>
      </w:r>
      <w:r>
        <w:rPr>
          <w:b/>
        </w:rPr>
        <w:t xml:space="preserve"> </w:t>
      </w:r>
      <w:r>
        <w:rPr>
          <w:b/>
          <w:lang w:val="uk-UA"/>
        </w:rPr>
        <w:t>В.П</w:t>
      </w:r>
      <w:r>
        <w:rPr>
          <w:b/>
        </w:rPr>
        <w:t xml:space="preserve">., </w:t>
      </w:r>
      <w:r w:rsidR="005E6151">
        <w:rPr>
          <w:b/>
        </w:rPr>
        <w:t>Березко Л.О</w:t>
      </w:r>
      <w:r>
        <w:rPr>
          <w:b/>
        </w:rPr>
        <w:t>.</w:t>
      </w:r>
    </w:p>
    <w:p w14:paraId="55F636CF" w14:textId="77777777" w:rsidR="009C0FC6" w:rsidRDefault="009C0FC6" w:rsidP="009C0FC6">
      <w:pPr>
        <w:jc w:val="right"/>
      </w:pPr>
      <w:r>
        <w:t>Національний університет "Львівська політехніка"</w:t>
      </w:r>
    </w:p>
    <w:p w14:paraId="61A18966" w14:textId="77777777" w:rsidR="009C0FC6" w:rsidRDefault="009C0FC6" w:rsidP="009C0FC6">
      <w:pPr>
        <w:jc w:val="right"/>
      </w:pPr>
      <w:r>
        <w:t>кафедра електронних обчислювальних машин</w:t>
      </w:r>
    </w:p>
    <w:p w14:paraId="0D2104F8" w14:textId="77777777" w:rsidR="009C0FC6" w:rsidRDefault="009C0FC6" w:rsidP="009C0FC6">
      <w:pPr>
        <w:jc w:val="right"/>
      </w:pPr>
    </w:p>
    <w:p w14:paraId="46C85BAF" w14:textId="67D8C563" w:rsidR="009C0FC6" w:rsidRPr="009C0FC6" w:rsidRDefault="009C0FC6" w:rsidP="009C0FC6">
      <w:pPr>
        <w:jc w:val="center"/>
        <w:rPr>
          <w:lang w:val="uk-UA"/>
        </w:rPr>
      </w:pPr>
      <w:r>
        <w:rPr>
          <w:b/>
          <w:sz w:val="28"/>
          <w:lang w:val="uk-UA"/>
        </w:rPr>
        <w:t>Використання платформ захищених хмарних обчислень для побудови сховищ даних</w:t>
      </w:r>
    </w:p>
    <w:p w14:paraId="0F722E41" w14:textId="77777777" w:rsidR="009C0FC6" w:rsidRDefault="009C0FC6" w:rsidP="009C0FC6">
      <w:pPr>
        <w:jc w:val="both"/>
        <w:rPr>
          <w:b/>
          <w:i/>
          <w:sz w:val="28"/>
        </w:rPr>
      </w:pPr>
    </w:p>
    <w:p w14:paraId="2A6539BF" w14:textId="7D8AD557" w:rsidR="009C0FC6" w:rsidRDefault="009C0FC6" w:rsidP="009C0FC6">
      <w:pPr>
        <w:jc w:val="both"/>
      </w:pPr>
      <w:r>
        <w:rPr>
          <w:i/>
        </w:rPr>
        <w:t xml:space="preserve">© </w:t>
      </w:r>
      <w:r>
        <w:rPr>
          <w:i/>
          <w:lang w:val="uk-UA"/>
        </w:rPr>
        <w:t>Тат</w:t>
      </w:r>
      <w:r w:rsidRPr="009C0FC6">
        <w:rPr>
          <w:i/>
        </w:rPr>
        <w:t>’</w:t>
      </w:r>
      <w:r>
        <w:rPr>
          <w:i/>
        </w:rPr>
        <w:t xml:space="preserve">янчук В.П., </w:t>
      </w:r>
      <w:r w:rsidR="005E6151">
        <w:rPr>
          <w:i/>
        </w:rPr>
        <w:t>Березко Л.О</w:t>
      </w:r>
      <w:r>
        <w:rPr>
          <w:i/>
        </w:rPr>
        <w:t>., 2019</w:t>
      </w:r>
    </w:p>
    <w:p w14:paraId="08652ED4" w14:textId="77777777" w:rsidR="009C0FC6" w:rsidRDefault="009C0FC6" w:rsidP="009C0FC6">
      <w:pPr>
        <w:jc w:val="both"/>
        <w:rPr>
          <w:i/>
        </w:rPr>
      </w:pPr>
    </w:p>
    <w:p w14:paraId="31DFF98A" w14:textId="3D18759D" w:rsidR="009C0FC6" w:rsidRPr="004E25E6" w:rsidRDefault="009C0FC6" w:rsidP="009C0FC6">
      <w:pPr>
        <w:ind w:firstLine="851"/>
        <w:jc w:val="both"/>
        <w:rPr>
          <w:b/>
          <w:lang w:val="uk-UA"/>
        </w:rPr>
      </w:pPr>
      <w:r>
        <w:rPr>
          <w:b/>
        </w:rPr>
        <w:t xml:space="preserve">Розглянуто </w:t>
      </w:r>
      <w:r w:rsidR="000D7148" w:rsidRPr="000D7148">
        <w:rPr>
          <w:b/>
        </w:rPr>
        <w:t>проблеми безпеки</w:t>
      </w:r>
      <w:r w:rsidR="00BF1127" w:rsidRPr="004E25E6">
        <w:rPr>
          <w:b/>
        </w:rPr>
        <w:t xml:space="preserve"> та</w:t>
      </w:r>
      <w:r w:rsidR="000D7148" w:rsidRPr="000D7148">
        <w:rPr>
          <w:b/>
        </w:rPr>
        <w:t xml:space="preserve"> конфіденційності </w:t>
      </w:r>
      <w:r w:rsidR="00BF1127" w:rsidRPr="004E25E6">
        <w:rPr>
          <w:b/>
        </w:rPr>
        <w:t>при доступ</w:t>
      </w:r>
      <w:r w:rsidR="004E25E6">
        <w:rPr>
          <w:b/>
          <w:lang w:val="uk-UA"/>
        </w:rPr>
        <w:t>і</w:t>
      </w:r>
      <w:r w:rsidR="00BF1127" w:rsidRPr="004E25E6">
        <w:rPr>
          <w:b/>
        </w:rPr>
        <w:t xml:space="preserve"> до даних у</w:t>
      </w:r>
      <w:r w:rsidR="000D7148">
        <w:rPr>
          <w:b/>
        </w:rPr>
        <w:t xml:space="preserve"> хмарни</w:t>
      </w:r>
      <w:r w:rsidR="004E25E6">
        <w:rPr>
          <w:b/>
          <w:lang w:val="uk-UA"/>
        </w:rPr>
        <w:t>х</w:t>
      </w:r>
      <w:r w:rsidR="000D7148">
        <w:rPr>
          <w:b/>
        </w:rPr>
        <w:t xml:space="preserve"> сховища</w:t>
      </w:r>
      <w:r w:rsidR="00BF1127" w:rsidRPr="004E25E6">
        <w:rPr>
          <w:b/>
        </w:rPr>
        <w:t>х</w:t>
      </w:r>
      <w:r w:rsidR="000D7148">
        <w:rPr>
          <w:b/>
        </w:rPr>
        <w:t xml:space="preserve"> даних</w:t>
      </w:r>
      <w:r>
        <w:rPr>
          <w:b/>
        </w:rPr>
        <w:t>. Проаналізовані способи</w:t>
      </w:r>
      <w:r w:rsidR="00BF1127" w:rsidRPr="004E25E6">
        <w:rPr>
          <w:b/>
        </w:rPr>
        <w:t xml:space="preserve"> контролю доступу до даних у хмарі</w:t>
      </w:r>
      <w:r>
        <w:rPr>
          <w:b/>
        </w:rPr>
        <w:t>.</w:t>
      </w:r>
      <w:r w:rsidR="00BF1127" w:rsidRPr="00BF1127">
        <w:rPr>
          <w:b/>
        </w:rPr>
        <w:t xml:space="preserve"> Запропоновано</w:t>
      </w:r>
      <w:r w:rsidRPr="00BF1127">
        <w:rPr>
          <w:b/>
        </w:rPr>
        <w:t xml:space="preserve"> </w:t>
      </w:r>
      <w:r w:rsidR="00BF1127" w:rsidRPr="00BF1127">
        <w:rPr>
          <w:b/>
        </w:rPr>
        <w:t xml:space="preserve">підхід до вдосконалення техніки </w:t>
      </w:r>
      <w:bookmarkStart w:id="2" w:name="_Hlk19537713"/>
      <w:r w:rsidR="00BF1127" w:rsidRPr="00BF1127">
        <w:rPr>
          <w:b/>
        </w:rPr>
        <w:t>шифрування на основі атрибутів політики шифротексту</w:t>
      </w:r>
      <w:r w:rsidR="00BF1127" w:rsidRPr="004E25E6">
        <w:rPr>
          <w:b/>
        </w:rPr>
        <w:t xml:space="preserve"> </w:t>
      </w:r>
      <w:bookmarkEnd w:id="2"/>
      <w:r w:rsidR="004E25E6">
        <w:rPr>
          <w:b/>
          <w:lang w:val="uk-UA"/>
        </w:rPr>
        <w:t>у</w:t>
      </w:r>
      <w:r w:rsidR="00BF1127" w:rsidRPr="004E25E6">
        <w:rPr>
          <w:b/>
        </w:rPr>
        <w:t xml:space="preserve"> децентралізован</w:t>
      </w:r>
      <w:r w:rsidR="004E25E6">
        <w:rPr>
          <w:b/>
          <w:lang w:val="uk-UA"/>
        </w:rPr>
        <w:t>ій</w:t>
      </w:r>
      <w:r w:rsidR="00BF1127" w:rsidRPr="004E25E6">
        <w:rPr>
          <w:b/>
        </w:rPr>
        <w:t xml:space="preserve"> систем</w:t>
      </w:r>
      <w:r w:rsidR="004E25E6">
        <w:rPr>
          <w:b/>
          <w:lang w:val="uk-UA"/>
        </w:rPr>
        <w:t>і</w:t>
      </w:r>
      <w:r w:rsidR="00BF1127" w:rsidRPr="004E25E6">
        <w:rPr>
          <w:b/>
        </w:rPr>
        <w:t xml:space="preserve"> контролю доступу до даних дл</w:t>
      </w:r>
      <w:r w:rsidR="004E25E6">
        <w:rPr>
          <w:b/>
          <w:lang w:val="uk-UA"/>
        </w:rPr>
        <w:t xml:space="preserve">я </w:t>
      </w:r>
      <w:r w:rsidR="00BF1127" w:rsidRPr="004E25E6">
        <w:rPr>
          <w:b/>
        </w:rPr>
        <w:t>багато</w:t>
      </w:r>
      <w:r w:rsidR="004E25E6">
        <w:rPr>
          <w:b/>
          <w:lang w:val="uk-UA"/>
        </w:rPr>
        <w:t>к</w:t>
      </w:r>
      <w:r w:rsidR="00BF1127" w:rsidRPr="004E25E6">
        <w:rPr>
          <w:b/>
        </w:rPr>
        <w:t>ористувацьких хмарних систем зберігання даних</w:t>
      </w:r>
      <w:r w:rsidR="004E25E6">
        <w:rPr>
          <w:b/>
          <w:lang w:val="uk-UA"/>
        </w:rPr>
        <w:t xml:space="preserve">. Основною метою є </w:t>
      </w:r>
      <w:r w:rsidR="00702877">
        <w:rPr>
          <w:b/>
          <w:lang w:val="uk-UA"/>
        </w:rPr>
        <w:t xml:space="preserve">підвищення </w:t>
      </w:r>
      <w:r w:rsidR="000D7148" w:rsidRPr="004E25E6">
        <w:rPr>
          <w:b/>
          <w:lang w:val="uk-UA"/>
        </w:rPr>
        <w:t>безпеки та конфіденційності</w:t>
      </w:r>
      <w:r w:rsidR="004E25E6">
        <w:rPr>
          <w:b/>
          <w:lang w:val="uk-UA"/>
        </w:rPr>
        <w:t xml:space="preserve"> </w:t>
      </w:r>
      <w:r w:rsidR="00702877">
        <w:rPr>
          <w:b/>
          <w:lang w:val="uk-UA"/>
        </w:rPr>
        <w:t>для</w:t>
      </w:r>
      <w:r w:rsidR="000D7148" w:rsidRPr="004E25E6">
        <w:rPr>
          <w:b/>
          <w:lang w:val="uk-UA"/>
        </w:rPr>
        <w:t xml:space="preserve"> хмарн</w:t>
      </w:r>
      <w:r w:rsidR="00BF1127" w:rsidRPr="004E25E6">
        <w:rPr>
          <w:b/>
          <w:lang w:val="uk-UA"/>
        </w:rPr>
        <w:t>о</w:t>
      </w:r>
      <w:r w:rsidR="00702877">
        <w:rPr>
          <w:b/>
          <w:lang w:val="uk-UA"/>
        </w:rPr>
        <w:t>го</w:t>
      </w:r>
      <w:r w:rsidR="00BF1127" w:rsidRPr="004E25E6">
        <w:rPr>
          <w:b/>
          <w:lang w:val="uk-UA"/>
        </w:rPr>
        <w:t xml:space="preserve"> сховищ</w:t>
      </w:r>
      <w:r w:rsidR="00702877">
        <w:rPr>
          <w:b/>
          <w:lang w:val="uk-UA"/>
        </w:rPr>
        <w:t>а</w:t>
      </w:r>
      <w:r w:rsidR="00BF1127" w:rsidRPr="004E25E6">
        <w:rPr>
          <w:b/>
          <w:lang w:val="uk-UA"/>
        </w:rPr>
        <w:t xml:space="preserve"> даних</w:t>
      </w:r>
      <w:r w:rsidR="004E25E6">
        <w:rPr>
          <w:b/>
          <w:lang w:val="uk-UA"/>
        </w:rPr>
        <w:t xml:space="preserve"> до якого існуючий доступ управління не відповідає всім вимогам безпеки та </w:t>
      </w:r>
      <w:r w:rsidR="004E25E6" w:rsidRPr="004E25E6">
        <w:rPr>
          <w:b/>
          <w:lang w:val="uk-UA"/>
        </w:rPr>
        <w:t>конфіденційності</w:t>
      </w:r>
      <w:r w:rsidR="000D7148" w:rsidRPr="004E25E6">
        <w:rPr>
          <w:b/>
          <w:lang w:val="uk-UA"/>
        </w:rPr>
        <w:t>.</w:t>
      </w:r>
    </w:p>
    <w:p w14:paraId="265ADA55" w14:textId="77777777" w:rsidR="000D7148" w:rsidRPr="00BF1127" w:rsidRDefault="000D7148" w:rsidP="009C0FC6">
      <w:pPr>
        <w:ind w:firstLine="851"/>
        <w:jc w:val="both"/>
        <w:rPr>
          <w:b/>
          <w:lang w:val="uk-UA"/>
        </w:rPr>
      </w:pPr>
    </w:p>
    <w:p w14:paraId="7874F45A" w14:textId="61D667A6" w:rsidR="009C0FC6" w:rsidRDefault="009C0FC6" w:rsidP="009C0FC6">
      <w:pPr>
        <w:ind w:firstLine="851"/>
        <w:jc w:val="both"/>
      </w:pPr>
      <w:r>
        <w:rPr>
          <w:b/>
        </w:rPr>
        <w:t xml:space="preserve">Ключові слова: </w:t>
      </w:r>
      <w:r w:rsidR="00AE7DC7">
        <w:rPr>
          <w:b/>
          <w:lang w:val="uk-UA"/>
        </w:rPr>
        <w:t>шифрування</w:t>
      </w:r>
      <w:r>
        <w:rPr>
          <w:b/>
        </w:rPr>
        <w:t>,</w:t>
      </w:r>
      <w:r w:rsidR="000D7148">
        <w:rPr>
          <w:b/>
          <w:lang w:val="uk-UA"/>
        </w:rPr>
        <w:t xml:space="preserve"> </w:t>
      </w:r>
      <w:r w:rsidR="00AE7DC7">
        <w:rPr>
          <w:b/>
          <w:lang w:val="uk-UA"/>
        </w:rPr>
        <w:t>хмарні обчислення</w:t>
      </w:r>
      <w:r w:rsidR="000D7148">
        <w:rPr>
          <w:b/>
          <w:lang w:val="uk-UA"/>
        </w:rPr>
        <w:t>,</w:t>
      </w:r>
      <w:r>
        <w:rPr>
          <w:b/>
        </w:rPr>
        <w:t xml:space="preserve"> </w:t>
      </w:r>
      <w:r w:rsidR="000D7148">
        <w:rPr>
          <w:b/>
        </w:rPr>
        <w:t xml:space="preserve"> с</w:t>
      </w:r>
      <w:r w:rsidR="000D7148">
        <w:rPr>
          <w:b/>
          <w:lang w:val="uk-UA"/>
        </w:rPr>
        <w:t>ховищ</w:t>
      </w:r>
      <w:r w:rsidR="00D47177">
        <w:rPr>
          <w:b/>
          <w:lang w:val="uk-UA"/>
        </w:rPr>
        <w:t>а</w:t>
      </w:r>
      <w:r w:rsidR="00AE7DC7">
        <w:rPr>
          <w:b/>
          <w:lang w:val="uk-UA"/>
        </w:rPr>
        <w:t xml:space="preserve"> даних</w:t>
      </w:r>
      <w:r>
        <w:rPr>
          <w:b/>
        </w:rPr>
        <w:t>.</w:t>
      </w:r>
    </w:p>
    <w:p w14:paraId="39CF1D01" w14:textId="77777777" w:rsidR="009C0FC6" w:rsidRDefault="009C0FC6" w:rsidP="009C0FC6">
      <w:pPr>
        <w:ind w:firstLine="851"/>
        <w:jc w:val="both"/>
        <w:rPr>
          <w:b/>
        </w:rPr>
      </w:pPr>
    </w:p>
    <w:p w14:paraId="020BC74B" w14:textId="7549CFF9" w:rsidR="004E25E6" w:rsidRDefault="008819FD" w:rsidP="009C0FC6">
      <w:pPr>
        <w:ind w:firstLine="851"/>
        <w:jc w:val="both"/>
        <w:rPr>
          <w:b/>
          <w:color w:val="FF0000"/>
          <w:lang w:val="en-US"/>
        </w:rPr>
      </w:pPr>
      <w:r w:rsidRPr="008819FD">
        <w:rPr>
          <w:b/>
          <w:color w:val="FF0000"/>
          <w:lang w:val="en-US"/>
        </w:rPr>
        <w:t>Security and privacy issues when accessing data in cloud storage are discussed. Ways to control access to data in the cloud are analyzed. An approach to improving encryption techniques based on the attributes of the ciphertext policy in a decentralized data access control system for multi-user cloud storage systems is proposed. The primary objective is to enhance security and privacy for the cloud storage to which existing management access does not meet all security and privacy requirements.</w:t>
      </w:r>
    </w:p>
    <w:p w14:paraId="2BBC8802" w14:textId="77777777" w:rsidR="008819FD" w:rsidRPr="009C0FC6" w:rsidRDefault="008819FD" w:rsidP="009C0FC6">
      <w:pPr>
        <w:ind w:firstLine="851"/>
        <w:jc w:val="both"/>
        <w:rPr>
          <w:b/>
          <w:lang w:val="en-US"/>
        </w:rPr>
      </w:pPr>
    </w:p>
    <w:p w14:paraId="7144AF70" w14:textId="2590AE08" w:rsidR="009C0FC6" w:rsidRPr="009C0FC6" w:rsidRDefault="009C0FC6" w:rsidP="009C0FC6">
      <w:pPr>
        <w:ind w:firstLine="851"/>
        <w:jc w:val="both"/>
        <w:rPr>
          <w:lang w:val="en-US"/>
        </w:rPr>
      </w:pPr>
      <w:r>
        <w:rPr>
          <w:b/>
          <w:lang w:val="en-US"/>
        </w:rPr>
        <w:t>Keywords</w:t>
      </w:r>
      <w:r w:rsidRPr="009C0FC6">
        <w:rPr>
          <w:b/>
          <w:lang w:val="en-US"/>
        </w:rPr>
        <w:t xml:space="preserve">: </w:t>
      </w:r>
      <w:r w:rsidR="00AE7DC7" w:rsidRPr="00AE7DC7">
        <w:rPr>
          <w:b/>
          <w:lang w:val="en-US"/>
        </w:rPr>
        <w:t>encryption, cloud computing, data warehouses.</w:t>
      </w:r>
    </w:p>
    <w:p w14:paraId="730B457C" w14:textId="77777777" w:rsidR="009C0FC6" w:rsidRDefault="009C0FC6" w:rsidP="009C0FC6">
      <w:pPr>
        <w:ind w:firstLine="851"/>
        <w:jc w:val="both"/>
        <w:rPr>
          <w:b/>
          <w:lang w:val="en-US"/>
        </w:rPr>
      </w:pPr>
    </w:p>
    <w:p w14:paraId="4A64BA53" w14:textId="34E90371" w:rsidR="007A1F9F" w:rsidRDefault="009C0FC6" w:rsidP="008819FD">
      <w:pPr>
        <w:ind w:firstLine="851"/>
        <w:jc w:val="both"/>
      </w:pPr>
      <w:r>
        <w:rPr>
          <w:b/>
        </w:rPr>
        <w:t>Вступ.</w:t>
      </w:r>
      <w:r>
        <w:t xml:space="preserve"> </w:t>
      </w:r>
      <w:r w:rsidR="000D7148" w:rsidRPr="000D7148">
        <w:t>Національний інститут стандартів та технологій [1] визначив хмарні обчислення як "модель для забезпечення зручного доступу до мережі за запитом до спільного пулу налаштованих обчислювальних ресурсів (наприклад, мереж, серверів, зберігання, додатків та послуг), що швидко розробляються та звільняється з мінімальними зусиллями управління або втручання постачальника послуг ». Він має кілька моделей розгортання, які є публічними, приватними</w:t>
      </w:r>
      <w:r w:rsidR="00702877">
        <w:rPr>
          <w:lang w:val="uk-UA"/>
        </w:rPr>
        <w:t xml:space="preserve"> </w:t>
      </w:r>
      <w:r w:rsidR="000D7148" w:rsidRPr="000D7148">
        <w:t>та гібридними хмарами [1</w:t>
      </w:r>
      <w:r w:rsidR="00AE7DC7" w:rsidRPr="00AE7DC7">
        <w:t>-3</w:t>
      </w:r>
      <w:r w:rsidR="000D7148" w:rsidRPr="000D7148">
        <w:t xml:space="preserve">]. </w:t>
      </w:r>
    </w:p>
    <w:p w14:paraId="3847FDF1" w14:textId="0C51ABA1" w:rsidR="007A1F9F" w:rsidRDefault="00AE7DC7" w:rsidP="00F95A7E">
      <w:pPr>
        <w:ind w:firstLine="851"/>
        <w:jc w:val="both"/>
        <w:rPr>
          <w:lang w:val="uk-UA"/>
        </w:rPr>
      </w:pPr>
      <w:r>
        <w:rPr>
          <w:lang w:val="uk-UA"/>
        </w:rPr>
        <w:t>І</w:t>
      </w:r>
      <w:r w:rsidR="007A1F9F">
        <w:t>снують національні та міжнародні закони про зберігання даних. У</w:t>
      </w:r>
      <w:r w:rsidR="007A1F9F" w:rsidRPr="000F4426">
        <w:rPr>
          <w:lang w:val="en-US"/>
        </w:rPr>
        <w:t xml:space="preserve"> </w:t>
      </w:r>
      <w:r w:rsidR="007A1F9F">
        <w:t>США</w:t>
      </w:r>
      <w:r w:rsidR="007A1F9F">
        <w:rPr>
          <w:lang w:val="uk-UA"/>
        </w:rPr>
        <w:t xml:space="preserve"> це </w:t>
      </w:r>
      <w:r w:rsidR="007A1F9F" w:rsidRPr="000F4426">
        <w:rPr>
          <w:lang w:val="en-US"/>
        </w:rPr>
        <w:t xml:space="preserve"> </w:t>
      </w:r>
      <w:r w:rsidR="000F4426" w:rsidRPr="000F4426">
        <w:rPr>
          <w:lang w:val="en-US"/>
        </w:rPr>
        <w:t>Health Insurance Portability and Accountability Act</w:t>
      </w:r>
      <w:r w:rsidR="007A1F9F" w:rsidRPr="000F4426">
        <w:rPr>
          <w:lang w:val="en-US"/>
        </w:rPr>
        <w:t xml:space="preserve"> (HIPAA)</w:t>
      </w:r>
      <w:r w:rsidR="000F4426" w:rsidRPr="000F4426">
        <w:rPr>
          <w:lang w:val="en-US"/>
        </w:rPr>
        <w:t>[4]</w:t>
      </w:r>
      <w:r w:rsidR="007A1F9F" w:rsidRPr="000F4426">
        <w:rPr>
          <w:lang w:val="en-US"/>
        </w:rPr>
        <w:t xml:space="preserve">, </w:t>
      </w:r>
      <w:r w:rsidR="000F4426" w:rsidRPr="000F4426">
        <w:rPr>
          <w:lang w:val="en-US"/>
        </w:rPr>
        <w:t xml:space="preserve">Payment Card Industry Data Security Standard </w:t>
      </w:r>
      <w:r w:rsidR="007A1F9F" w:rsidRPr="000F4426">
        <w:rPr>
          <w:lang w:val="en-US"/>
        </w:rPr>
        <w:t>(PCI DSS)</w:t>
      </w:r>
      <w:r w:rsidR="000F4426" w:rsidRPr="000F4426">
        <w:rPr>
          <w:lang w:val="en-US"/>
        </w:rPr>
        <w:t>[5]</w:t>
      </w:r>
      <w:r w:rsidR="007A1F9F" w:rsidRPr="000F4426">
        <w:rPr>
          <w:lang w:val="en-US"/>
        </w:rPr>
        <w:t xml:space="preserve">, </w:t>
      </w:r>
      <w:r w:rsidR="000F4426" w:rsidRPr="000F4426">
        <w:rPr>
          <w:lang w:val="en-US"/>
        </w:rPr>
        <w:t xml:space="preserve">International Traffic in Arms Regulations </w:t>
      </w:r>
      <w:r w:rsidR="007A1F9F" w:rsidRPr="000F4426">
        <w:rPr>
          <w:lang w:val="en-US"/>
        </w:rPr>
        <w:t>(ITAR)</w:t>
      </w:r>
      <w:r w:rsidR="000F4426">
        <w:rPr>
          <w:lang w:val="en-US"/>
        </w:rPr>
        <w:t>[6]</w:t>
      </w:r>
      <w:r w:rsidR="007A1F9F" w:rsidRPr="000F4426">
        <w:rPr>
          <w:lang w:val="en-US"/>
        </w:rPr>
        <w:t xml:space="preserve"> </w:t>
      </w:r>
      <w:r w:rsidR="007A1F9F">
        <w:t>та</w:t>
      </w:r>
      <w:r w:rsidR="007A1F9F" w:rsidRPr="000F4426">
        <w:rPr>
          <w:lang w:val="en-US"/>
        </w:rPr>
        <w:t xml:space="preserve"> </w:t>
      </w:r>
      <w:r w:rsidR="00F95A7E" w:rsidRPr="00F95A7E">
        <w:rPr>
          <w:lang w:val="en-US"/>
        </w:rPr>
        <w:t xml:space="preserve">Health Information Technology for Economic and Clinical Health Act </w:t>
      </w:r>
      <w:r w:rsidR="007A1F9F" w:rsidRPr="000F4426">
        <w:rPr>
          <w:lang w:val="en-US"/>
        </w:rPr>
        <w:t>(HITECH)</w:t>
      </w:r>
      <w:r w:rsidR="00EA5EA1" w:rsidRPr="000F4426">
        <w:rPr>
          <w:lang w:val="en-US"/>
        </w:rPr>
        <w:t xml:space="preserve"> [</w:t>
      </w:r>
      <w:r w:rsidR="00F95A7E">
        <w:rPr>
          <w:lang w:val="en-US"/>
        </w:rPr>
        <w:t>7</w:t>
      </w:r>
      <w:r w:rsidR="00EA5EA1" w:rsidRPr="000F4426">
        <w:rPr>
          <w:lang w:val="en-US"/>
        </w:rPr>
        <w:t>]</w:t>
      </w:r>
      <w:r w:rsidR="007A1F9F" w:rsidRPr="000F4426">
        <w:rPr>
          <w:lang w:val="en-US"/>
        </w:rPr>
        <w:t>.</w:t>
      </w:r>
      <w:r w:rsidR="00EA5EA1">
        <w:rPr>
          <w:lang w:val="uk-UA"/>
        </w:rPr>
        <w:t xml:space="preserve"> </w:t>
      </w:r>
      <w:r w:rsidR="007A1F9F">
        <w:rPr>
          <w:lang w:val="uk-UA"/>
        </w:rPr>
        <w:t xml:space="preserve">Не так давно у </w:t>
      </w:r>
      <w:r w:rsidR="007A1F9F" w:rsidRPr="00EA5EA1">
        <w:rPr>
          <w:lang w:val="uk-UA"/>
        </w:rPr>
        <w:t xml:space="preserve"> Європі </w:t>
      </w:r>
      <w:r w:rsidR="007A1F9F">
        <w:rPr>
          <w:lang w:val="uk-UA"/>
        </w:rPr>
        <w:t>був прийнятий досить</w:t>
      </w:r>
      <w:r w:rsidR="007A1F9F" w:rsidRPr="00EA5EA1">
        <w:rPr>
          <w:lang w:val="uk-UA"/>
        </w:rPr>
        <w:t xml:space="preserve"> обтяжливий </w:t>
      </w:r>
      <w:r w:rsidR="007A1F9F">
        <w:rPr>
          <w:lang w:val="uk-UA"/>
        </w:rPr>
        <w:t xml:space="preserve">закон </w:t>
      </w:r>
      <w:r w:rsidR="00F95A7E" w:rsidRPr="00F95A7E">
        <w:rPr>
          <w:lang w:val="uk-UA"/>
        </w:rPr>
        <w:t xml:space="preserve">General Data Protection Regulation </w:t>
      </w:r>
      <w:r w:rsidR="007A1F9F" w:rsidRPr="00EA5EA1">
        <w:rPr>
          <w:lang w:val="uk-UA"/>
        </w:rPr>
        <w:t>(</w:t>
      </w:r>
      <w:r w:rsidR="007A1F9F">
        <w:t>GDPR</w:t>
      </w:r>
      <w:r w:rsidR="007A1F9F" w:rsidRPr="00EA5EA1">
        <w:rPr>
          <w:lang w:val="uk-UA"/>
        </w:rPr>
        <w:t>) з його широкими правилами та жорсткими штрафами</w:t>
      </w:r>
      <w:r w:rsidR="007A1F9F">
        <w:rPr>
          <w:lang w:val="uk-UA"/>
        </w:rPr>
        <w:t xml:space="preserve"> для всії країн </w:t>
      </w:r>
      <w:r w:rsidR="007A1F9F" w:rsidRPr="00EA5EA1">
        <w:rPr>
          <w:lang w:val="uk-UA"/>
        </w:rPr>
        <w:t xml:space="preserve">Європейського Союзу (ЄС), які диктують, що конфіденційна або приватна інформація </w:t>
      </w:r>
      <w:r w:rsidR="007A1F9F">
        <w:rPr>
          <w:lang w:val="uk-UA"/>
        </w:rPr>
        <w:t>повинна знаходитиися у</w:t>
      </w:r>
      <w:r w:rsidR="007A1F9F" w:rsidRPr="00EA5EA1">
        <w:rPr>
          <w:lang w:val="uk-UA"/>
        </w:rPr>
        <w:t xml:space="preserve"> фізичн</w:t>
      </w:r>
      <w:r w:rsidR="007A1F9F">
        <w:rPr>
          <w:lang w:val="uk-UA"/>
        </w:rPr>
        <w:t>их</w:t>
      </w:r>
      <w:r w:rsidR="007A1F9F" w:rsidRPr="00EA5EA1">
        <w:rPr>
          <w:lang w:val="uk-UA"/>
        </w:rPr>
        <w:t xml:space="preserve"> меж</w:t>
      </w:r>
      <w:r w:rsidR="007A1F9F">
        <w:rPr>
          <w:lang w:val="uk-UA"/>
        </w:rPr>
        <w:t>ах</w:t>
      </w:r>
      <w:r w:rsidR="007A1F9F" w:rsidRPr="00EA5EA1">
        <w:rPr>
          <w:lang w:val="uk-UA"/>
        </w:rPr>
        <w:t xml:space="preserve"> країни чи регіону з якої вони походять</w:t>
      </w:r>
      <w:r w:rsidR="00EA5EA1" w:rsidRPr="00EA5EA1">
        <w:rPr>
          <w:lang w:val="uk-UA"/>
        </w:rPr>
        <w:t xml:space="preserve"> [</w:t>
      </w:r>
      <w:r w:rsidR="00F95A7E" w:rsidRPr="00F95A7E">
        <w:rPr>
          <w:lang w:val="uk-UA"/>
        </w:rPr>
        <w:t>8</w:t>
      </w:r>
      <w:r w:rsidR="00EA5EA1" w:rsidRPr="00EA5EA1">
        <w:rPr>
          <w:lang w:val="uk-UA"/>
        </w:rPr>
        <w:t>]</w:t>
      </w:r>
      <w:r w:rsidR="007A1F9F" w:rsidRPr="00EA5EA1">
        <w:rPr>
          <w:lang w:val="uk-UA"/>
        </w:rPr>
        <w:t xml:space="preserve">. </w:t>
      </w:r>
      <w:r w:rsidR="007A1F9F" w:rsidRPr="00F95A7E">
        <w:rPr>
          <w:lang w:val="uk-UA"/>
        </w:rPr>
        <w:t xml:space="preserve">Є також Закон Великобританії про захист даних, Федеральний закон Швейцарії про захист даних та Канадський </w:t>
      </w:r>
      <w:r w:rsidR="00F95A7E" w:rsidRPr="00F95A7E">
        <w:t>Personal</w:t>
      </w:r>
      <w:r w:rsidR="00F95A7E" w:rsidRPr="00F95A7E">
        <w:rPr>
          <w:lang w:val="uk-UA"/>
        </w:rPr>
        <w:t xml:space="preserve"> </w:t>
      </w:r>
      <w:r w:rsidR="00F95A7E" w:rsidRPr="00F95A7E">
        <w:t>Information</w:t>
      </w:r>
      <w:r w:rsidR="00F95A7E" w:rsidRPr="00F95A7E">
        <w:rPr>
          <w:lang w:val="uk-UA"/>
        </w:rPr>
        <w:t xml:space="preserve"> </w:t>
      </w:r>
      <w:r w:rsidR="00F95A7E" w:rsidRPr="00F95A7E">
        <w:t>Protection</w:t>
      </w:r>
      <w:r w:rsidR="00F95A7E" w:rsidRPr="00F95A7E">
        <w:rPr>
          <w:lang w:val="uk-UA"/>
        </w:rPr>
        <w:t xml:space="preserve"> </w:t>
      </w:r>
      <w:r w:rsidR="00F95A7E" w:rsidRPr="00F95A7E">
        <w:t>and</w:t>
      </w:r>
      <w:r w:rsidR="00F95A7E" w:rsidRPr="00F95A7E">
        <w:rPr>
          <w:lang w:val="uk-UA"/>
        </w:rPr>
        <w:t xml:space="preserve"> </w:t>
      </w:r>
      <w:r w:rsidR="00F95A7E" w:rsidRPr="00F95A7E">
        <w:t>Electronic</w:t>
      </w:r>
      <w:r w:rsidR="00F95A7E" w:rsidRPr="00F95A7E">
        <w:rPr>
          <w:lang w:val="uk-UA"/>
        </w:rPr>
        <w:t xml:space="preserve"> </w:t>
      </w:r>
      <w:r w:rsidR="00F95A7E" w:rsidRPr="00F95A7E">
        <w:t>Documents</w:t>
      </w:r>
      <w:r w:rsidR="00F95A7E" w:rsidRPr="00F95A7E">
        <w:rPr>
          <w:lang w:val="uk-UA"/>
        </w:rPr>
        <w:t xml:space="preserve"> </w:t>
      </w:r>
      <w:r w:rsidR="00F95A7E" w:rsidRPr="00F95A7E">
        <w:t>Act</w:t>
      </w:r>
      <w:r w:rsidR="00F95A7E" w:rsidRPr="00F95A7E">
        <w:rPr>
          <w:lang w:val="uk-UA"/>
        </w:rPr>
        <w:t xml:space="preserve"> </w:t>
      </w:r>
      <w:r w:rsidR="007A1F9F" w:rsidRPr="00F95A7E">
        <w:rPr>
          <w:lang w:val="uk-UA"/>
        </w:rPr>
        <w:t>(</w:t>
      </w:r>
      <w:r w:rsidR="007A1F9F">
        <w:t>PIPEDA</w:t>
      </w:r>
      <w:r w:rsidR="007A1F9F" w:rsidRPr="00F95A7E">
        <w:rPr>
          <w:lang w:val="uk-UA"/>
        </w:rPr>
        <w:t>)</w:t>
      </w:r>
      <w:r w:rsidR="00F95A7E" w:rsidRPr="00F95A7E">
        <w:rPr>
          <w:lang w:val="uk-UA"/>
        </w:rPr>
        <w:t>[9]</w:t>
      </w:r>
      <w:r w:rsidR="007A1F9F" w:rsidRPr="00F95A7E">
        <w:rPr>
          <w:lang w:val="uk-UA"/>
        </w:rPr>
        <w:t>.</w:t>
      </w:r>
      <w:r w:rsidR="00EA5EA1">
        <w:rPr>
          <w:lang w:val="uk-UA"/>
        </w:rPr>
        <w:t xml:space="preserve"> Таким чином ми маємо багато різних законів про безпеку та конфеденційність даних яких потрібно притримуватися у розробці хмарної інфраструктури</w:t>
      </w:r>
      <w:r w:rsidR="0030102B">
        <w:rPr>
          <w:lang w:val="uk-UA"/>
        </w:rPr>
        <w:t xml:space="preserve">. </w:t>
      </w:r>
    </w:p>
    <w:p w14:paraId="3431EA33" w14:textId="79F26E88" w:rsidR="008819FD" w:rsidRPr="008819FD" w:rsidRDefault="008819FD" w:rsidP="00F95A7E">
      <w:pPr>
        <w:ind w:firstLine="851"/>
        <w:jc w:val="both"/>
        <w:rPr>
          <w:lang w:val="uk-UA"/>
        </w:rPr>
      </w:pPr>
      <w:r w:rsidRPr="008819FD">
        <w:rPr>
          <w:lang w:val="uk-UA"/>
        </w:rPr>
        <w:t xml:space="preserve">У послугах хмарних обчислень клієнти стурбовані переміщенням своїх конфіденційних даних і додатків зі своїх приватних обчислювальних середовищ в хмарну середовище, яка спільно використовується різними клієнтами і яке зазвичай доступне через загальнодоступну мережу. </w:t>
      </w:r>
      <w:r w:rsidRPr="008819FD">
        <w:rPr>
          <w:lang w:val="uk-UA"/>
        </w:rPr>
        <w:lastRenderedPageBreak/>
        <w:t>Несанкціонований доступ до інтерфейсу управління: в хмарних обчисленнях інтерфейси управління зазвичай доступні через загальнодоступні мережі для авторизованих клієнтів і можливих неавторизованих зловмисників, тоді як звичайні центри обробки даних зазвичай доступні тільки авторизованим адміністраторам безпосередньо або через приватні мережі. Більш того, доступ до управління зазвичай здійснюється через веб-додаток або сервісні технології, тому інтерфейс управління хмарами, ймовірно, схильний до вразливості цих технологій.</w:t>
      </w:r>
    </w:p>
    <w:p w14:paraId="2C991246" w14:textId="21F586AA" w:rsidR="007A1F9F" w:rsidRPr="008819FD" w:rsidRDefault="00F95A7E" w:rsidP="007A1F9F">
      <w:pPr>
        <w:ind w:firstLine="851"/>
        <w:jc w:val="both"/>
        <w:rPr>
          <w:lang w:val="uk-UA"/>
        </w:rPr>
      </w:pPr>
      <w:r>
        <w:rPr>
          <w:noProof/>
        </w:rPr>
        <w:drawing>
          <wp:anchor distT="0" distB="0" distL="114300" distR="114300" simplePos="0" relativeHeight="251658240" behindDoc="0" locked="0" layoutInCell="1" allowOverlap="1" wp14:anchorId="28AAEC55" wp14:editId="2EADB344">
            <wp:simplePos x="0" y="0"/>
            <wp:positionH relativeFrom="margin">
              <wp:posOffset>-142875</wp:posOffset>
            </wp:positionH>
            <wp:positionV relativeFrom="paragraph">
              <wp:posOffset>278848</wp:posOffset>
            </wp:positionV>
            <wp:extent cx="5842635" cy="32067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635" cy="3206750"/>
                    </a:xfrm>
                    <a:prstGeom prst="rect">
                      <a:avLst/>
                    </a:prstGeom>
                    <a:noFill/>
                    <a:ln>
                      <a:noFill/>
                    </a:ln>
                  </pic:spPr>
                </pic:pic>
              </a:graphicData>
            </a:graphic>
          </wp:anchor>
        </w:drawing>
      </w:r>
    </w:p>
    <w:p w14:paraId="04EE2ED2" w14:textId="77777777" w:rsidR="00F95A7E" w:rsidRPr="008819FD" w:rsidRDefault="00F95A7E" w:rsidP="00F95A7E">
      <w:pPr>
        <w:rPr>
          <w:lang w:val="uk-UA"/>
        </w:rPr>
      </w:pPr>
    </w:p>
    <w:p w14:paraId="045239B9" w14:textId="13DA537F" w:rsidR="00F95A7E" w:rsidRPr="00F95A7E" w:rsidRDefault="00F95A7E" w:rsidP="00F95A7E">
      <w:pPr>
        <w:ind w:firstLine="851"/>
        <w:jc w:val="center"/>
      </w:pPr>
      <w:r>
        <w:t xml:space="preserve">Рис. </w:t>
      </w:r>
      <w:r>
        <w:rPr>
          <w:lang w:val="uk-UA"/>
        </w:rPr>
        <w:t>1</w:t>
      </w:r>
      <w:r>
        <w:t xml:space="preserve">. </w:t>
      </w:r>
      <w:r>
        <w:rPr>
          <w:lang w:val="uk-UA"/>
        </w:rPr>
        <w:t>Архітектура реалізації доступу до даних у хмарних платформах</w:t>
      </w:r>
      <w:r>
        <w:t>.</w:t>
      </w:r>
    </w:p>
    <w:p w14:paraId="1703B973" w14:textId="77777777" w:rsidR="00F95A7E" w:rsidRDefault="00F95A7E" w:rsidP="0030102B">
      <w:pPr>
        <w:ind w:firstLine="851"/>
        <w:jc w:val="both"/>
        <w:rPr>
          <w:b/>
        </w:rPr>
      </w:pPr>
    </w:p>
    <w:p w14:paraId="2838351C" w14:textId="4350C2E5" w:rsidR="00AE7DC7" w:rsidRPr="008819FD" w:rsidRDefault="009C0FC6" w:rsidP="008819FD">
      <w:pPr>
        <w:ind w:firstLine="851"/>
        <w:jc w:val="both"/>
      </w:pPr>
      <w:r>
        <w:rPr>
          <w:b/>
        </w:rPr>
        <w:t>Стан проблеми.</w:t>
      </w:r>
      <w:r w:rsidR="0030102B">
        <w:rPr>
          <w:b/>
          <w:lang w:val="uk-UA"/>
        </w:rPr>
        <w:t xml:space="preserve"> </w:t>
      </w:r>
      <w:r w:rsidR="00AE7DC7" w:rsidRPr="009D153A">
        <w:t xml:space="preserve">Поняття безпеки та конфіденційності інформації в хмарі є критичною проблемою. Це може бути пов'язано з тим, що в Хмарах немає меж, і дані, що зберігаються в хмарі, можуть бути фізично розміщені в будь-якій точці світу або в будь-якому центрі обробки даних в мережі, що географічно розподіляється, як це передбачено Cloud </w:t>
      </w:r>
      <w:r w:rsidR="00AE7DC7">
        <w:rPr>
          <w:lang w:val="en-US"/>
        </w:rPr>
        <w:t>Security</w:t>
      </w:r>
      <w:r w:rsidR="00AE7DC7" w:rsidRPr="009D153A">
        <w:t xml:space="preserve"> Group [</w:t>
      </w:r>
      <w:r w:rsidR="00AE7DC7">
        <w:rPr>
          <w:lang w:val="uk-UA"/>
        </w:rPr>
        <w:t>4</w:t>
      </w:r>
      <w:r w:rsidR="00AE7DC7" w:rsidRPr="009D153A">
        <w:t xml:space="preserve">]. Іншими словами, Хмарні бази даних викликають серйозні проблеми безпеки, такі як доступність, конфіденційність,  </w:t>
      </w:r>
      <w:r w:rsidR="00AE7DC7">
        <w:rPr>
          <w:lang w:val="uk-UA"/>
        </w:rPr>
        <w:t>приватність</w:t>
      </w:r>
      <w:r w:rsidR="00AE7DC7" w:rsidRPr="009D153A">
        <w:t xml:space="preserve">, цілісність даних та цілісність інформації, серед інших, які мають найважливіше значення. Тому слід пропонувати рішення для вирішення всіх цих питань, зокрема конфіденційності та цілісності даних у хмарній базі даних, для зберігання, доступу, маніпуляцій та взаємодії з користувачами та серед них. Яскравий характер бази даних Хмари зробив її дуже вразливою до декількох атак безпеки, конфіденційності та етичних проблем. Більшість етичних питань, пов’язаних із хмарою, стосуються питань довіри та недовіри між постачальниками послуг Cloud та абонентами Cloud. Дослідження </w:t>
      </w:r>
      <w:r w:rsidR="00AE7DC7">
        <w:rPr>
          <w:lang w:val="uk-UA"/>
        </w:rPr>
        <w:t>р</w:t>
      </w:r>
      <w:r w:rsidR="00AE7DC7" w:rsidRPr="009D153A">
        <w:t>екоменду</w:t>
      </w:r>
      <w:r w:rsidR="00AE7DC7">
        <w:rPr>
          <w:lang w:val="uk-UA"/>
        </w:rPr>
        <w:t>є</w:t>
      </w:r>
      <w:r w:rsidR="00AE7DC7" w:rsidRPr="009D153A">
        <w:t xml:space="preserve"> стратегії або способи, за допомогою яких такі проблеми можна пом'якшити, запропонувавши систему безпеки та конфіденційності</w:t>
      </w:r>
      <w:r w:rsidR="00AE7DC7">
        <w:t>.</w:t>
      </w:r>
      <w:r w:rsidR="00AE7DC7">
        <w:rPr>
          <w:lang w:val="uk-UA"/>
        </w:rPr>
        <w:t xml:space="preserve"> Велика кількість</w:t>
      </w:r>
      <w:r w:rsidR="00AE7DC7" w:rsidRPr="00AE7DC7">
        <w:rPr>
          <w:lang w:val="uk-UA"/>
        </w:rPr>
        <w:t xml:space="preserve"> законів про конфіденційність,  змусила </w:t>
      </w:r>
      <w:r w:rsidR="00AE7DC7">
        <w:rPr>
          <w:lang w:val="uk-UA"/>
        </w:rPr>
        <w:t>багато компаній відмовитися від зберігання даних у хмарі</w:t>
      </w:r>
      <w:r w:rsidR="00AE7DC7" w:rsidRPr="00AE7DC7">
        <w:rPr>
          <w:lang w:val="uk-UA"/>
        </w:rPr>
        <w:t xml:space="preserve">, тому що </w:t>
      </w:r>
      <w:r w:rsidR="00AE7DC7">
        <w:rPr>
          <w:lang w:val="uk-UA"/>
        </w:rPr>
        <w:t>хмарні платформи не можуть гаратнтувати безпеку даних користувачів</w:t>
      </w:r>
      <w:r w:rsidR="00AE7DC7" w:rsidRPr="00AE7DC7">
        <w:rPr>
          <w:lang w:val="uk-UA"/>
        </w:rPr>
        <w:t>.</w:t>
      </w:r>
      <w:r w:rsidR="00AE7DC7">
        <w:rPr>
          <w:lang w:val="uk-UA"/>
        </w:rPr>
        <w:t xml:space="preserve"> </w:t>
      </w:r>
      <w:r w:rsidR="00AE7DC7">
        <w:t xml:space="preserve">Багато провайдерів можуть зберігати дані на серверах, які фізично не знаходяться в регіоні, </w:t>
      </w:r>
      <w:r w:rsidR="00AE7DC7">
        <w:rPr>
          <w:lang w:val="uk-UA"/>
        </w:rPr>
        <w:t>що суперечить законам деяких країн</w:t>
      </w:r>
      <w:r w:rsidR="00AE7DC7">
        <w:t xml:space="preserve">. Це проблема для фірм, що мають чітке законодавство про зберігання даних. </w:t>
      </w:r>
    </w:p>
    <w:p w14:paraId="5D2AF7A7" w14:textId="3952EA58" w:rsidR="00B56EAD" w:rsidRPr="00D75508" w:rsidRDefault="00B56EAD" w:rsidP="00D75508">
      <w:pPr>
        <w:ind w:firstLine="720"/>
        <w:jc w:val="both"/>
        <w:rPr>
          <w:lang w:val="uk-UA"/>
        </w:rPr>
      </w:pPr>
      <w:r>
        <w:t>Служба хмарного зберігання даних дозволяє власнику даних передавати свої дані в хмару і через не</w:t>
      </w:r>
      <w:r>
        <w:rPr>
          <w:lang w:val="uk-UA"/>
        </w:rPr>
        <w:t>ї</w:t>
      </w:r>
      <w:r>
        <w:t xml:space="preserve"> забезпечу</w:t>
      </w:r>
      <w:r>
        <w:rPr>
          <w:lang w:val="uk-UA"/>
        </w:rPr>
        <w:t>є</w:t>
      </w:r>
      <w:r>
        <w:t xml:space="preserve"> доступ до даних користувач</w:t>
      </w:r>
      <w:r>
        <w:rPr>
          <w:lang w:val="uk-UA"/>
        </w:rPr>
        <w:t>еві</w:t>
      </w:r>
      <w:r>
        <w:t>. Тому що хмарний сервер</w:t>
      </w:r>
      <w:r w:rsidRPr="00FB1EE3">
        <w:t xml:space="preserve"> </w:t>
      </w:r>
      <w:r>
        <w:t xml:space="preserve">і власник даних не в одному довірчому домені, </w:t>
      </w:r>
      <w:r>
        <w:rPr>
          <w:lang w:val="uk-UA"/>
        </w:rPr>
        <w:t xml:space="preserve">у </w:t>
      </w:r>
      <w:r>
        <w:t>напівдовіреному хмарному сервері</w:t>
      </w:r>
      <w:r>
        <w:rPr>
          <w:lang w:val="uk-UA"/>
        </w:rPr>
        <w:t xml:space="preserve"> </w:t>
      </w:r>
      <w:r>
        <w:t>не можна покладатися на застосування політики доступу. Виріш</w:t>
      </w:r>
      <w:r>
        <w:rPr>
          <w:lang w:val="uk-UA"/>
        </w:rPr>
        <w:t>ують</w:t>
      </w:r>
      <w:r>
        <w:t xml:space="preserve"> цю проблему</w:t>
      </w:r>
      <w:r>
        <w:rPr>
          <w:lang w:val="uk-UA"/>
        </w:rPr>
        <w:t xml:space="preserve"> </w:t>
      </w:r>
      <w:r>
        <w:t xml:space="preserve">зазвичай </w:t>
      </w:r>
      <w:r w:rsidR="00D75508">
        <w:rPr>
          <w:lang w:val="uk-UA"/>
        </w:rPr>
        <w:t>прим</w:t>
      </w:r>
      <w:r>
        <w:rPr>
          <w:lang w:val="uk-UA"/>
        </w:rPr>
        <w:t>шуючи</w:t>
      </w:r>
      <w:r>
        <w:t xml:space="preserve"> </w:t>
      </w:r>
      <w:r>
        <w:rPr>
          <w:lang w:val="uk-UA"/>
        </w:rPr>
        <w:t>в</w:t>
      </w:r>
      <w:r>
        <w:t xml:space="preserve">ласника даних шифровувати дані та </w:t>
      </w:r>
      <w:r>
        <w:rPr>
          <w:lang w:val="uk-UA"/>
        </w:rPr>
        <w:t>нада</w:t>
      </w:r>
      <w:r w:rsidR="00D75508">
        <w:rPr>
          <w:lang w:val="uk-UA"/>
        </w:rPr>
        <w:t>вати</w:t>
      </w:r>
      <w:r w:rsidRPr="00FB1EE3">
        <w:t xml:space="preserve"> </w:t>
      </w:r>
      <w:r>
        <w:t xml:space="preserve">ключі </w:t>
      </w:r>
      <w:r>
        <w:rPr>
          <w:lang w:val="uk-UA"/>
        </w:rPr>
        <w:t xml:space="preserve">шифрування </w:t>
      </w:r>
      <w:r>
        <w:t>авторизовани</w:t>
      </w:r>
      <w:r>
        <w:rPr>
          <w:lang w:val="uk-UA"/>
        </w:rPr>
        <w:t>м</w:t>
      </w:r>
      <w:r>
        <w:t xml:space="preserve"> користувач</w:t>
      </w:r>
      <w:r>
        <w:rPr>
          <w:lang w:val="uk-UA"/>
        </w:rPr>
        <w:t>ам</w:t>
      </w:r>
      <w:r>
        <w:t xml:space="preserve">. Однак ці методи </w:t>
      </w:r>
      <w:r>
        <w:lastRenderedPageBreak/>
        <w:t>зазвичай включають складний ключ та великі накладні витрати власника даних</w:t>
      </w:r>
      <w:r>
        <w:rPr>
          <w:lang w:val="uk-UA"/>
        </w:rPr>
        <w:t>.</w:t>
      </w:r>
      <w:r w:rsidR="00D75508">
        <w:rPr>
          <w:lang w:val="uk-UA"/>
        </w:rPr>
        <w:t xml:space="preserve"> </w:t>
      </w:r>
      <w:r w:rsidR="00D75508" w:rsidRPr="0030102B">
        <w:t>Тому питання безпеки та конфіденційності при доступі до даних у хмарних сховищах даних є актуальним.</w:t>
      </w:r>
    </w:p>
    <w:p w14:paraId="25638D69" w14:textId="1681EEFD" w:rsidR="00D75508" w:rsidRPr="00B56EAD" w:rsidRDefault="00D75508" w:rsidP="00B56EAD">
      <w:pPr>
        <w:jc w:val="both"/>
        <w:rPr>
          <w:lang w:val="uk-UA"/>
        </w:rPr>
      </w:pPr>
    </w:p>
    <w:p w14:paraId="6453EE69" w14:textId="38F4569F" w:rsidR="00B56EAD" w:rsidRPr="0030102B" w:rsidRDefault="009C0FC6" w:rsidP="0030102B">
      <w:pPr>
        <w:ind w:firstLine="851"/>
        <w:jc w:val="both"/>
      </w:pPr>
      <w:r>
        <w:rPr>
          <w:b/>
        </w:rPr>
        <w:t>Постановка задачі.</w:t>
      </w:r>
      <w:r>
        <w:t xml:space="preserve"> </w:t>
      </w:r>
      <w:r w:rsidR="00D75508">
        <w:rPr>
          <w:lang w:val="uk-UA"/>
        </w:rPr>
        <w:t>Пропонується</w:t>
      </w:r>
      <w:r w:rsidR="00B56EAD">
        <w:t xml:space="preserve"> підхід до вдосконалення</w:t>
      </w:r>
      <w:r w:rsidR="00B56EAD">
        <w:rPr>
          <w:lang w:val="uk-UA"/>
        </w:rPr>
        <w:t xml:space="preserve"> техніки</w:t>
      </w:r>
      <w:r w:rsidR="00B56EAD">
        <w:t xml:space="preserve"> </w:t>
      </w:r>
      <w:r w:rsidR="00BF1127">
        <w:rPr>
          <w:lang w:val="uk-UA"/>
        </w:rPr>
        <w:t>ш</w:t>
      </w:r>
      <w:r w:rsidR="00B56EAD" w:rsidRPr="00B56EAD">
        <w:t>ифрування на основі атрибутів політики шифротексту</w:t>
      </w:r>
      <w:r w:rsidR="0030102B">
        <w:rPr>
          <w:lang w:val="uk-UA"/>
        </w:rPr>
        <w:t xml:space="preserve"> </w:t>
      </w:r>
      <w:r w:rsidR="00B56EAD">
        <w:t xml:space="preserve">для контролю доступу </w:t>
      </w:r>
      <w:r w:rsidR="00B56EAD">
        <w:rPr>
          <w:lang w:val="uk-UA"/>
        </w:rPr>
        <w:t xml:space="preserve">до </w:t>
      </w:r>
      <w:r w:rsidR="00B56EAD">
        <w:t>зашифрованих даних</w:t>
      </w:r>
      <w:r w:rsidR="00B56EAD">
        <w:rPr>
          <w:lang w:val="uk-UA"/>
        </w:rPr>
        <w:t xml:space="preserve">, який </w:t>
      </w:r>
      <w:r w:rsidR="00D75508">
        <w:rPr>
          <w:lang w:val="uk-UA"/>
        </w:rPr>
        <w:t>є не оптимальним</w:t>
      </w:r>
      <w:r w:rsidR="00B56EAD">
        <w:rPr>
          <w:lang w:val="uk-UA"/>
        </w:rPr>
        <w:t xml:space="preserve"> для хмарних платформ</w:t>
      </w:r>
      <w:r w:rsidR="00935391">
        <w:rPr>
          <w:lang w:val="uk-UA"/>
        </w:rPr>
        <w:t xml:space="preserve"> і накладає обмеження по продуктивності</w:t>
      </w:r>
      <w:r w:rsidR="00D75508">
        <w:rPr>
          <w:lang w:val="uk-UA"/>
        </w:rPr>
        <w:t xml:space="preserve"> тому</w:t>
      </w:r>
      <w:r w:rsidR="00935391">
        <w:rPr>
          <w:lang w:val="uk-UA"/>
        </w:rPr>
        <w:t xml:space="preserve"> запропонавоно децентралізовану схему доступу до даних.</w:t>
      </w:r>
    </w:p>
    <w:p w14:paraId="6C46B5D3" w14:textId="02002463" w:rsidR="00B56EAD" w:rsidRDefault="00B56EAD" w:rsidP="00B56EAD">
      <w:pPr>
        <w:ind w:firstLine="851"/>
        <w:jc w:val="both"/>
      </w:pPr>
    </w:p>
    <w:p w14:paraId="4CC6E732" w14:textId="58F292CC" w:rsidR="00B56EAD" w:rsidRDefault="00B56EAD" w:rsidP="0030102B">
      <w:pPr>
        <w:jc w:val="both"/>
      </w:pPr>
    </w:p>
    <w:p w14:paraId="77BE8331" w14:textId="34AC4AB4" w:rsidR="0030102B" w:rsidRPr="008819FD" w:rsidRDefault="009C0FC6" w:rsidP="008819FD">
      <w:pPr>
        <w:ind w:firstLine="851"/>
        <w:jc w:val="both"/>
        <w:rPr>
          <w:b/>
        </w:rPr>
      </w:pPr>
      <w:r>
        <w:rPr>
          <w:b/>
        </w:rPr>
        <w:t>Розв’яз</w:t>
      </w:r>
      <w:r w:rsidR="00D75508">
        <w:rPr>
          <w:b/>
          <w:lang w:val="uk-UA"/>
        </w:rPr>
        <w:t>ок</w:t>
      </w:r>
      <w:r>
        <w:rPr>
          <w:b/>
        </w:rPr>
        <w:t xml:space="preserve"> задачі</w:t>
      </w:r>
      <w:r w:rsidR="00FB1EE3">
        <w:rPr>
          <w:b/>
        </w:rPr>
        <w:t>.</w:t>
      </w:r>
      <w:r w:rsidR="008819FD">
        <w:rPr>
          <w:b/>
          <w:lang w:val="uk-UA"/>
        </w:rPr>
        <w:t xml:space="preserve"> </w:t>
      </w:r>
      <w:r w:rsidR="007A4FC2">
        <w:rPr>
          <w:lang w:val="uk-UA"/>
        </w:rPr>
        <w:t>І</w:t>
      </w:r>
      <w:r w:rsidR="0030102B">
        <w:t xml:space="preserve">снуюча схема </w:t>
      </w:r>
      <w:r w:rsidR="00282490">
        <w:rPr>
          <w:lang w:val="uk-UA"/>
        </w:rPr>
        <w:t xml:space="preserve"> доступу до даних </w:t>
      </w:r>
      <w:r w:rsidR="0030102B">
        <w:t>CP-ABE [</w:t>
      </w:r>
      <w:r w:rsidR="00F95A7E" w:rsidRPr="00F95A7E">
        <w:t>10</w:t>
      </w:r>
      <w:r w:rsidR="0030102B">
        <w:t>]</w:t>
      </w:r>
      <w:r w:rsidR="00282490">
        <w:rPr>
          <w:lang w:val="uk-UA"/>
        </w:rPr>
        <w:t xml:space="preserve"> з</w:t>
      </w:r>
      <w:r w:rsidR="0030102B">
        <w:t>апропонован</w:t>
      </w:r>
      <w:r w:rsidR="00282490">
        <w:rPr>
          <w:lang w:val="uk-UA"/>
        </w:rPr>
        <w:t>а</w:t>
      </w:r>
      <w:r w:rsidR="0030102B">
        <w:t xml:space="preserve"> Левком та Уотерсом ма</w:t>
      </w:r>
      <w:r w:rsidR="00282490">
        <w:rPr>
          <w:lang w:val="uk-UA"/>
        </w:rPr>
        <w:t>є</w:t>
      </w:r>
      <w:r w:rsidR="0030102B">
        <w:t xml:space="preserve"> висок</w:t>
      </w:r>
      <w:r w:rsidR="00282490">
        <w:rPr>
          <w:lang w:val="uk-UA"/>
        </w:rPr>
        <w:t xml:space="preserve">ий рівень безпеки і надійсності </w:t>
      </w:r>
      <w:r w:rsidR="0030102B">
        <w:t>в</w:t>
      </w:r>
      <w:r w:rsidR="00282490">
        <w:rPr>
          <w:lang w:val="uk-UA"/>
        </w:rPr>
        <w:t>она</w:t>
      </w:r>
      <w:r w:rsidR="0030102B">
        <w:t xml:space="preserve"> все ще не може бути застосован</w:t>
      </w:r>
      <w:r w:rsidR="00282490">
        <w:rPr>
          <w:lang w:val="uk-UA"/>
        </w:rPr>
        <w:t>а</w:t>
      </w:r>
      <w:r w:rsidR="0030102B">
        <w:t xml:space="preserve"> для контролю доступу для </w:t>
      </w:r>
      <w:r w:rsidR="00282490">
        <w:rPr>
          <w:lang w:val="uk-UA"/>
        </w:rPr>
        <w:t xml:space="preserve">багатокористувацьких </w:t>
      </w:r>
      <w:r w:rsidR="0030102B">
        <w:t>хмарних систем</w:t>
      </w:r>
      <w:r w:rsidR="00282490">
        <w:rPr>
          <w:lang w:val="uk-UA"/>
        </w:rPr>
        <w:t xml:space="preserve"> </w:t>
      </w:r>
      <w:r w:rsidR="0030102B">
        <w:t>зберігання даних через неефективність дешифрування</w:t>
      </w:r>
      <w:r w:rsidR="00282490">
        <w:rPr>
          <w:lang w:val="uk-UA"/>
        </w:rPr>
        <w:t xml:space="preserve"> </w:t>
      </w:r>
      <w:r w:rsidR="0030102B">
        <w:t>та скасування</w:t>
      </w:r>
      <w:r w:rsidR="00282490">
        <w:rPr>
          <w:lang w:val="uk-UA"/>
        </w:rPr>
        <w:t xml:space="preserve"> операції</w:t>
      </w:r>
      <w:r w:rsidR="0030102B">
        <w:t>. З метою розробки ефективно</w:t>
      </w:r>
      <w:r w:rsidR="00282490">
        <w:rPr>
          <w:lang w:val="uk-UA"/>
        </w:rPr>
        <w:t xml:space="preserve">ї схеми </w:t>
      </w:r>
      <w:r w:rsidR="0030102B">
        <w:t xml:space="preserve">контролю </w:t>
      </w:r>
      <w:r w:rsidR="00282490">
        <w:rPr>
          <w:lang w:val="uk-UA"/>
        </w:rPr>
        <w:t xml:space="preserve">ми візьмемо схему </w:t>
      </w:r>
      <w:r w:rsidR="0030102B">
        <w:t>CP-ABE з ефективним розшифруванням та</w:t>
      </w:r>
      <w:r w:rsidR="00282490">
        <w:rPr>
          <w:lang w:val="uk-UA"/>
        </w:rPr>
        <w:t xml:space="preserve"> </w:t>
      </w:r>
      <w:r w:rsidR="0030102B">
        <w:t>запропону</w:t>
      </w:r>
      <w:r w:rsidR="00282490">
        <w:rPr>
          <w:lang w:val="uk-UA"/>
        </w:rPr>
        <w:t>єм</w:t>
      </w:r>
      <w:r w:rsidR="0030102B">
        <w:t xml:space="preserve"> </w:t>
      </w:r>
      <w:r w:rsidR="00282490">
        <w:rPr>
          <w:lang w:val="uk-UA"/>
        </w:rPr>
        <w:t>нлвий метод</w:t>
      </w:r>
      <w:r w:rsidR="0030102B">
        <w:t xml:space="preserve"> анулювання </w:t>
      </w:r>
      <w:r w:rsidR="00282490">
        <w:rPr>
          <w:lang w:val="uk-UA"/>
        </w:rPr>
        <w:t>операції</w:t>
      </w:r>
      <w:r w:rsidR="0030102B">
        <w:t>.</w:t>
      </w:r>
    </w:p>
    <w:p w14:paraId="000836CC" w14:textId="5B29FACC" w:rsidR="0030102B" w:rsidRDefault="00282490" w:rsidP="004C0A50">
      <w:pPr>
        <w:ind w:firstLine="720"/>
        <w:jc w:val="both"/>
      </w:pPr>
      <w:r>
        <w:rPr>
          <w:lang w:val="uk-UA"/>
        </w:rPr>
        <w:t xml:space="preserve">Важким питанням в </w:t>
      </w:r>
      <w:r w:rsidR="0030102B" w:rsidRPr="00282490">
        <w:rPr>
          <w:lang w:val="uk-UA"/>
        </w:rPr>
        <w:t xml:space="preserve">розробці схеми </w:t>
      </w:r>
      <w:r w:rsidR="0030102B">
        <w:t>CP</w:t>
      </w:r>
      <w:r>
        <w:rPr>
          <w:lang w:val="uk-UA"/>
        </w:rPr>
        <w:t>-</w:t>
      </w:r>
      <w:r w:rsidR="0030102B">
        <w:t>ABE</w:t>
      </w:r>
      <w:r w:rsidR="0030102B" w:rsidRPr="00282490">
        <w:rPr>
          <w:lang w:val="uk-UA"/>
        </w:rPr>
        <w:t xml:space="preserve"> з кількома повноваженнями - це як зв'язати секретні ключі разом і запобігти</w:t>
      </w:r>
      <w:r>
        <w:rPr>
          <w:lang w:val="uk-UA"/>
        </w:rPr>
        <w:t xml:space="preserve"> </w:t>
      </w:r>
      <w:r w:rsidR="00D57FAC">
        <w:rPr>
          <w:lang w:val="uk-UA"/>
        </w:rPr>
        <w:t>колізійним атакам</w:t>
      </w:r>
      <w:r w:rsidR="00D57FAC" w:rsidRPr="00D57FAC">
        <w:rPr>
          <w:lang w:val="uk-UA"/>
        </w:rPr>
        <w:t>[</w:t>
      </w:r>
      <w:r w:rsidR="00F95A7E" w:rsidRPr="00F95A7E">
        <w:rPr>
          <w:lang w:val="uk-UA"/>
        </w:rPr>
        <w:t>11</w:t>
      </w:r>
      <w:r w:rsidR="00D57FAC" w:rsidRPr="00D57FAC">
        <w:rPr>
          <w:lang w:val="uk-UA"/>
        </w:rPr>
        <w:t>]</w:t>
      </w:r>
      <w:r w:rsidR="0030102B" w:rsidRPr="00282490">
        <w:rPr>
          <w:lang w:val="uk-UA"/>
        </w:rPr>
        <w:t>. Без центрально</w:t>
      </w:r>
      <w:r>
        <w:rPr>
          <w:lang w:val="uk-UA"/>
        </w:rPr>
        <w:t xml:space="preserve">го керування </w:t>
      </w:r>
      <w:r w:rsidR="0030102B" w:rsidRPr="00282490">
        <w:rPr>
          <w:lang w:val="uk-UA"/>
        </w:rPr>
        <w:t>важко пов'язати</w:t>
      </w:r>
      <w:r>
        <w:rPr>
          <w:lang w:val="uk-UA"/>
        </w:rPr>
        <w:t xml:space="preserve"> </w:t>
      </w:r>
      <w:r w:rsidR="0030102B">
        <w:t>разом різні компоненти секретного</w:t>
      </w:r>
      <w:r w:rsidR="00D57FAC">
        <w:rPr>
          <w:lang w:val="uk-UA"/>
        </w:rPr>
        <w:t xml:space="preserve"> </w:t>
      </w:r>
      <w:r w:rsidR="0030102B">
        <w:t>ключа користувача та використову</w:t>
      </w:r>
      <w:r>
        <w:rPr>
          <w:lang w:val="uk-UA"/>
        </w:rPr>
        <w:t xml:space="preserve">вати </w:t>
      </w:r>
      <w:r w:rsidR="0030102B">
        <w:t xml:space="preserve">ключовий метод рандомізації для запобігання </w:t>
      </w:r>
      <w:r w:rsidR="00D57FAC">
        <w:t>кол</w:t>
      </w:r>
      <w:r w:rsidR="00D57FAC">
        <w:rPr>
          <w:lang w:val="uk-UA"/>
        </w:rPr>
        <w:t>і</w:t>
      </w:r>
      <w:r w:rsidR="00D57FAC">
        <w:t>зыйних атак</w:t>
      </w:r>
      <w:r w:rsidR="0030102B">
        <w:t>. В</w:t>
      </w:r>
      <w:r w:rsidR="00D57FAC">
        <w:rPr>
          <w:lang w:val="uk-UA"/>
        </w:rPr>
        <w:t xml:space="preserve"> </w:t>
      </w:r>
      <w:r w:rsidR="0030102B">
        <w:t>наш</w:t>
      </w:r>
      <w:r w:rsidR="00D57FAC">
        <w:rPr>
          <w:lang w:val="uk-UA"/>
        </w:rPr>
        <w:t>ому</w:t>
      </w:r>
      <w:r w:rsidR="0030102B">
        <w:t xml:space="preserve"> метод</w:t>
      </w:r>
      <w:r w:rsidR="00D57FAC">
        <w:rPr>
          <w:lang w:val="uk-UA"/>
        </w:rPr>
        <w:t>і</w:t>
      </w:r>
      <w:r w:rsidR="0030102B">
        <w:t xml:space="preserve">, ми відокремлюємо повноваження на глобальний </w:t>
      </w:r>
      <w:r w:rsidR="00A23C5B">
        <w:t>центр сертиф</w:t>
      </w:r>
      <w:r w:rsidR="00A23C5B">
        <w:rPr>
          <w:lang w:val="uk-UA"/>
        </w:rPr>
        <w:t>ікації ключів</w:t>
      </w:r>
      <w:r w:rsidR="0030102B">
        <w:t xml:space="preserve"> (</w:t>
      </w:r>
      <w:r w:rsidR="00A23C5B">
        <w:rPr>
          <w:lang w:val="uk-UA"/>
        </w:rPr>
        <w:t>ЦСК</w:t>
      </w:r>
      <w:r w:rsidR="0030102B">
        <w:t xml:space="preserve">) та </w:t>
      </w:r>
      <w:r w:rsidR="00D57FAC">
        <w:rPr>
          <w:lang w:val="uk-UA"/>
        </w:rPr>
        <w:t xml:space="preserve">атрибути доступу </w:t>
      </w:r>
      <w:r w:rsidR="0030102B">
        <w:t>(A</w:t>
      </w:r>
      <w:r w:rsidR="00D57FAC">
        <w:rPr>
          <w:lang w:val="uk-UA"/>
        </w:rPr>
        <w:t>Д</w:t>
      </w:r>
      <w:r w:rsidR="0030102B">
        <w:t xml:space="preserve">). </w:t>
      </w:r>
      <w:r w:rsidR="00D57FAC">
        <w:rPr>
          <w:lang w:val="uk-UA"/>
        </w:rPr>
        <w:t xml:space="preserve"> </w:t>
      </w:r>
      <w:r w:rsidR="0030102B">
        <w:t>C</w:t>
      </w:r>
      <w:r w:rsidR="00D57FAC">
        <w:rPr>
          <w:lang w:val="uk-UA"/>
        </w:rPr>
        <w:t>Д</w:t>
      </w:r>
      <w:r w:rsidR="0030102B">
        <w:t xml:space="preserve"> налаштовує систему і приймає реєстрацію всіх</w:t>
      </w:r>
      <w:r w:rsidR="00D57FAC">
        <w:rPr>
          <w:lang w:val="uk-UA"/>
        </w:rPr>
        <w:t xml:space="preserve"> </w:t>
      </w:r>
      <w:r w:rsidR="0030102B">
        <w:t>користувачів та А</w:t>
      </w:r>
      <w:r w:rsidR="00D57FAC">
        <w:rPr>
          <w:lang w:val="uk-UA"/>
        </w:rPr>
        <w:t>Д</w:t>
      </w:r>
      <w:r w:rsidR="0030102B">
        <w:t xml:space="preserve"> в системі. Однак </w:t>
      </w:r>
      <w:r w:rsidR="00A23C5B">
        <w:rPr>
          <w:lang w:val="uk-UA"/>
        </w:rPr>
        <w:t>ЦСК</w:t>
      </w:r>
      <w:r w:rsidR="00A23C5B">
        <w:t xml:space="preserve"> </w:t>
      </w:r>
      <w:r w:rsidR="0030102B">
        <w:t>не бере участь</w:t>
      </w:r>
      <w:r w:rsidR="00D57FAC">
        <w:rPr>
          <w:lang w:val="uk-UA"/>
        </w:rPr>
        <w:t xml:space="preserve"> </w:t>
      </w:r>
      <w:r w:rsidR="0030102B">
        <w:t>в будь-якому управлінні атрибутами та створенн</w:t>
      </w:r>
      <w:r w:rsidR="00D57FAC">
        <w:rPr>
          <w:lang w:val="uk-UA"/>
        </w:rPr>
        <w:t>і</w:t>
      </w:r>
      <w:r w:rsidR="0030102B">
        <w:t xml:space="preserve"> секретних ключів</w:t>
      </w:r>
      <w:r w:rsidR="00D57FAC">
        <w:rPr>
          <w:lang w:val="uk-UA"/>
        </w:rPr>
        <w:t xml:space="preserve"> </w:t>
      </w:r>
      <w:r w:rsidR="0030102B">
        <w:t xml:space="preserve">які пов'язані з атрибутами. </w:t>
      </w:r>
      <w:r w:rsidR="00A23C5B">
        <w:rPr>
          <w:lang w:val="uk-UA"/>
        </w:rPr>
        <w:t>ЦСК</w:t>
      </w:r>
      <w:r w:rsidR="00A23C5B">
        <w:t xml:space="preserve"> </w:t>
      </w:r>
      <w:r w:rsidR="0030102B">
        <w:t>призначає глобальний</w:t>
      </w:r>
      <w:r w:rsidR="00D57FAC">
        <w:rPr>
          <w:lang w:val="uk-UA"/>
        </w:rPr>
        <w:t xml:space="preserve"> </w:t>
      </w:r>
      <w:r w:rsidR="0030102B">
        <w:t>ідентифікатор користувача, що відповідає індивідуальному користувачеві, та ідентифікатор глобального авторитету</w:t>
      </w:r>
    </w:p>
    <w:p w14:paraId="79FE68B0" w14:textId="005AFB34" w:rsidR="0030102B" w:rsidRPr="00D57FAC" w:rsidRDefault="0030102B" w:rsidP="0030102B">
      <w:pPr>
        <w:jc w:val="both"/>
        <w:rPr>
          <w:lang w:val="uk-UA"/>
        </w:rPr>
      </w:pPr>
      <w:r>
        <w:t xml:space="preserve">допомога кожному атрибутивному органу в системі. </w:t>
      </w:r>
      <w:r w:rsidR="00D57FAC">
        <w:rPr>
          <w:lang w:val="uk-UA"/>
        </w:rPr>
        <w:t xml:space="preserve">Тепер він є унікальним у </w:t>
      </w:r>
      <w:r>
        <w:t>глобальн</w:t>
      </w:r>
      <w:r w:rsidR="00D57FAC">
        <w:rPr>
          <w:lang w:val="uk-UA"/>
        </w:rPr>
        <w:t>ій</w:t>
      </w:r>
      <w:r>
        <w:t xml:space="preserve"> у системі, секретні ключі, видані різними</w:t>
      </w:r>
      <w:r w:rsidR="00D57FAC">
        <w:rPr>
          <w:lang w:val="uk-UA"/>
        </w:rPr>
        <w:t xml:space="preserve"> </w:t>
      </w:r>
      <w:r w:rsidR="00A23C5B">
        <w:t>A</w:t>
      </w:r>
      <w:r w:rsidR="00A23C5B">
        <w:rPr>
          <w:lang w:val="uk-UA"/>
        </w:rPr>
        <w:t>Д</w:t>
      </w:r>
      <w:r w:rsidR="00A23C5B">
        <w:t xml:space="preserve"> </w:t>
      </w:r>
      <w:r>
        <w:t xml:space="preserve">для одного і того ж </w:t>
      </w:r>
      <w:r w:rsidR="00D57FAC">
        <w:rPr>
          <w:lang w:val="uk-UA"/>
        </w:rPr>
        <w:t xml:space="preserve">унікального ідентифікатора </w:t>
      </w:r>
      <w:r>
        <w:t xml:space="preserve"> можуть бути пов'язані разом для дешифрування. </w:t>
      </w:r>
    </w:p>
    <w:p w14:paraId="37AF64B3" w14:textId="418DDDA1" w:rsidR="005A4161" w:rsidRDefault="004C0A50" w:rsidP="0030102B">
      <w:pPr>
        <w:jc w:val="both"/>
        <w:rPr>
          <w:lang w:val="uk-UA"/>
        </w:rPr>
      </w:pPr>
      <w:r>
        <w:rPr>
          <w:lang w:val="uk-UA"/>
        </w:rPr>
        <w:t>О</w:t>
      </w:r>
      <w:r w:rsidR="0030102B">
        <w:t xml:space="preserve">скільки кожен </w:t>
      </w:r>
      <w:r w:rsidR="00A23C5B">
        <w:t>A</w:t>
      </w:r>
      <w:r w:rsidR="00A23C5B">
        <w:rPr>
          <w:lang w:val="uk-UA"/>
        </w:rPr>
        <w:t>Д</w:t>
      </w:r>
      <w:r w:rsidR="00A23C5B">
        <w:t xml:space="preserve"> </w:t>
      </w:r>
      <w:r w:rsidR="0030102B">
        <w:t xml:space="preserve">пов'язаний </w:t>
      </w:r>
      <w:r>
        <w:rPr>
          <w:lang w:val="uk-UA"/>
        </w:rPr>
        <w:t xml:space="preserve"> за допомогою ідентифікатора</w:t>
      </w:r>
      <w:r w:rsidR="0030102B">
        <w:t xml:space="preserve">, </w:t>
      </w:r>
      <w:r>
        <w:rPr>
          <w:lang w:val="uk-UA"/>
        </w:rPr>
        <w:t>ми можемо протистояти колізійним атакам</w:t>
      </w:r>
      <w:r w:rsidRPr="004C0A50">
        <w:t>[</w:t>
      </w:r>
      <w:r w:rsidR="00F95A7E" w:rsidRPr="00F95A7E">
        <w:t>12</w:t>
      </w:r>
      <w:r w:rsidRPr="004C0A50">
        <w:t>]</w:t>
      </w:r>
      <w:r>
        <w:rPr>
          <w:lang w:val="uk-UA"/>
        </w:rPr>
        <w:t xml:space="preserve">. </w:t>
      </w:r>
    </w:p>
    <w:p w14:paraId="118D7113" w14:textId="0CCE9D95" w:rsidR="004C0A50" w:rsidRDefault="0030102B" w:rsidP="00A23C5B">
      <w:pPr>
        <w:ind w:firstLine="720"/>
        <w:jc w:val="both"/>
      </w:pPr>
      <w:r>
        <w:t xml:space="preserve">Для досягнення ефективного розшифрування користувача, </w:t>
      </w:r>
      <w:r w:rsidR="004C0A50">
        <w:t>пропонуэться</w:t>
      </w:r>
      <w:r w:rsidR="004C0A50" w:rsidRPr="004C0A50">
        <w:t xml:space="preserve"> </w:t>
      </w:r>
      <w:r>
        <w:t xml:space="preserve">метод аутсорсингу на основі токена. </w:t>
      </w:r>
      <w:r w:rsidR="004C0A50">
        <w:t xml:space="preserve">Застосовуэться </w:t>
      </w:r>
      <w:r>
        <w:t>дешифрування ідеї аутсорсингу [</w:t>
      </w:r>
      <w:r w:rsidR="00F95A7E" w:rsidRPr="00F95A7E">
        <w:t>13</w:t>
      </w:r>
      <w:r>
        <w:t>] та розширення її на кілька</w:t>
      </w:r>
      <w:r w:rsidR="004C0A50">
        <w:rPr>
          <w:lang w:val="uk-UA"/>
        </w:rPr>
        <w:t xml:space="preserve"> </w:t>
      </w:r>
      <w:r>
        <w:t xml:space="preserve">авторитетних систем, дозволяючи </w:t>
      </w:r>
      <w:r w:rsidR="00A23C5B">
        <w:rPr>
          <w:lang w:val="uk-UA"/>
        </w:rPr>
        <w:t>ЦСК</w:t>
      </w:r>
      <w:r w:rsidR="00A23C5B">
        <w:t xml:space="preserve"> </w:t>
      </w:r>
      <w:r>
        <w:t>генерувати глобальну пару</w:t>
      </w:r>
      <w:r w:rsidR="004C0A50">
        <w:rPr>
          <w:lang w:val="uk-UA"/>
        </w:rPr>
        <w:t xml:space="preserve"> </w:t>
      </w:r>
      <w:r>
        <w:t>секретн</w:t>
      </w:r>
      <w:r w:rsidR="004C0A50">
        <w:t>ого</w:t>
      </w:r>
      <w:r>
        <w:t xml:space="preserve"> ключ</w:t>
      </w:r>
      <w:r w:rsidR="004C0A50">
        <w:t>у</w:t>
      </w:r>
      <w:r>
        <w:t xml:space="preserve"> та глобальн</w:t>
      </w:r>
      <w:r w:rsidR="004C0A50">
        <w:t>ого</w:t>
      </w:r>
      <w:r>
        <w:t xml:space="preserve"> відкрити</w:t>
      </w:r>
      <w:r w:rsidR="004C0A50">
        <w:t>го</w:t>
      </w:r>
      <w:r>
        <w:t xml:space="preserve"> ключ</w:t>
      </w:r>
      <w:r w:rsidR="004C0A50">
        <w:t>у</w:t>
      </w:r>
      <w:r>
        <w:t xml:space="preserve"> для кожного користувача в</w:t>
      </w:r>
      <w:r w:rsidR="004C0A50">
        <w:rPr>
          <w:lang w:val="uk-UA"/>
        </w:rPr>
        <w:t xml:space="preserve"> </w:t>
      </w:r>
      <w:r>
        <w:t xml:space="preserve">система. </w:t>
      </w:r>
    </w:p>
    <w:p w14:paraId="504E4A2A" w14:textId="0F392F20" w:rsidR="005A4161" w:rsidRDefault="0030102B" w:rsidP="006A16E7">
      <w:pPr>
        <w:ind w:firstLine="720"/>
        <w:jc w:val="both"/>
        <w:rPr>
          <w:noProof/>
        </w:rPr>
      </w:pPr>
      <w:r>
        <w:t>Під час дешифрування користувач подає свої секретні ключі</w:t>
      </w:r>
      <w:r w:rsidR="005A4161">
        <w:rPr>
          <w:lang w:val="uk-UA"/>
        </w:rPr>
        <w:t xml:space="preserve"> </w:t>
      </w:r>
      <w:r w:rsidR="00A23C5B">
        <w:t>В</w:t>
      </w:r>
      <w:r>
        <w:t>ида</w:t>
      </w:r>
      <w:r w:rsidR="00A23C5B">
        <w:rPr>
          <w:lang w:val="uk-UA"/>
        </w:rPr>
        <w:t>ні</w:t>
      </w:r>
      <w:r>
        <w:t xml:space="preserve"> A</w:t>
      </w:r>
      <w:r w:rsidR="00A23C5B">
        <w:rPr>
          <w:lang w:val="uk-UA"/>
        </w:rPr>
        <w:t>Д</w:t>
      </w:r>
      <w:r>
        <w:t xml:space="preserve"> на сервер і просить сервер обчислити a</w:t>
      </w:r>
      <w:r w:rsidR="00A23C5B">
        <w:rPr>
          <w:lang w:val="uk-UA"/>
        </w:rPr>
        <w:t xml:space="preserve"> токен</w:t>
      </w:r>
      <w:r>
        <w:t xml:space="preserve"> дешифрування для</w:t>
      </w:r>
      <w:r w:rsidR="00A23C5B">
        <w:rPr>
          <w:lang w:val="uk-UA"/>
        </w:rPr>
        <w:t xml:space="preserve"> розшифровки</w:t>
      </w:r>
      <w:r>
        <w:t xml:space="preserve"> шифротексту. Потім користувач може розшифрувати</w:t>
      </w:r>
      <w:r w:rsidR="00A23C5B">
        <w:rPr>
          <w:lang w:val="uk-UA"/>
        </w:rPr>
        <w:t xml:space="preserve"> </w:t>
      </w:r>
      <w:r>
        <w:t xml:space="preserve">шифротекст, використовуючи </w:t>
      </w:r>
      <w:r w:rsidR="00A23C5B">
        <w:rPr>
          <w:lang w:val="uk-UA"/>
        </w:rPr>
        <w:t>токен</w:t>
      </w:r>
      <w:r>
        <w:t xml:space="preserve"> дешифрування разом із його</w:t>
      </w:r>
      <w:r w:rsidR="00A23C5B">
        <w:rPr>
          <w:lang w:val="uk-UA"/>
        </w:rPr>
        <w:t xml:space="preserve"> </w:t>
      </w:r>
      <w:r>
        <w:t>глобаль</w:t>
      </w:r>
      <w:r w:rsidR="00A23C5B">
        <w:rPr>
          <w:lang w:val="uk-UA"/>
        </w:rPr>
        <w:t xml:space="preserve">ним </w:t>
      </w:r>
      <w:r>
        <w:t>секретни</w:t>
      </w:r>
      <w:r w:rsidR="00A23C5B">
        <w:rPr>
          <w:lang w:val="uk-UA"/>
        </w:rPr>
        <w:t xml:space="preserve">м </w:t>
      </w:r>
      <w:r>
        <w:t xml:space="preserve"> ключ</w:t>
      </w:r>
      <w:r w:rsidR="00A23C5B">
        <w:rPr>
          <w:lang w:val="uk-UA"/>
        </w:rPr>
        <w:t>ем</w:t>
      </w:r>
      <w:r>
        <w:t>.</w:t>
      </w:r>
      <w:r w:rsidR="005A4161" w:rsidRPr="005A4161">
        <w:rPr>
          <w:noProof/>
        </w:rPr>
        <w:t xml:space="preserve"> </w:t>
      </w:r>
    </w:p>
    <w:p w14:paraId="05EDDD08" w14:textId="11B481B1" w:rsidR="0030102B" w:rsidRPr="00FB1EE3" w:rsidRDefault="0030102B" w:rsidP="00EB2818">
      <w:pPr>
        <w:ind w:firstLine="720"/>
        <w:jc w:val="both"/>
      </w:pPr>
      <w:r>
        <w:t xml:space="preserve">Щоб вирішити проблему анулювання атрибута, ми </w:t>
      </w:r>
      <w:r w:rsidR="00A23C5B">
        <w:rPr>
          <w:lang w:val="uk-UA"/>
        </w:rPr>
        <w:t xml:space="preserve">присвоюємо </w:t>
      </w:r>
      <w:r>
        <w:t xml:space="preserve"> </w:t>
      </w:r>
      <w:r w:rsidR="00A23C5B">
        <w:rPr>
          <w:lang w:val="uk-UA"/>
        </w:rPr>
        <w:t>кожному атрибуту номер версії.</w:t>
      </w:r>
      <w:r>
        <w:t xml:space="preserve"> </w:t>
      </w:r>
      <w:r w:rsidR="00A23C5B">
        <w:t>Щ</w:t>
      </w:r>
      <w:r>
        <w:t>о</w:t>
      </w:r>
      <w:r w:rsidR="00A23C5B">
        <w:rPr>
          <w:lang w:val="uk-UA"/>
        </w:rPr>
        <w:t>б</w:t>
      </w:r>
      <w:r>
        <w:t xml:space="preserve"> коли</w:t>
      </w:r>
      <w:r w:rsidR="00021EC4">
        <w:rPr>
          <w:lang w:val="uk-UA"/>
        </w:rPr>
        <w:t xml:space="preserve"> трапляється скасування атрибуту</w:t>
      </w:r>
      <w:r>
        <w:t>, лише ті компоненти</w:t>
      </w:r>
      <w:r w:rsidR="00021EC4">
        <w:rPr>
          <w:lang w:val="uk-UA"/>
        </w:rPr>
        <w:t xml:space="preserve"> які</w:t>
      </w:r>
      <w:r>
        <w:t xml:space="preserve"> пов'язані з</w:t>
      </w:r>
      <w:r w:rsidR="00021EC4">
        <w:rPr>
          <w:lang w:val="uk-UA"/>
        </w:rPr>
        <w:t xml:space="preserve"> </w:t>
      </w:r>
      <w:r w:rsidR="00021EC4">
        <w:t>А</w:t>
      </w:r>
      <w:r>
        <w:t>нульовани</w:t>
      </w:r>
      <w:r w:rsidR="00021EC4">
        <w:rPr>
          <w:lang w:val="uk-UA"/>
        </w:rPr>
        <w:t xml:space="preserve">м </w:t>
      </w:r>
      <w:r>
        <w:t>атрибут</w:t>
      </w:r>
      <w:r w:rsidR="00021EC4">
        <w:rPr>
          <w:lang w:val="uk-UA"/>
        </w:rPr>
        <w:t>ом</w:t>
      </w:r>
      <w:r>
        <w:t xml:space="preserve"> у секретних ключах та шифротекстах </w:t>
      </w:r>
      <w:r w:rsidR="00021EC4">
        <w:rPr>
          <w:lang w:val="uk-UA"/>
        </w:rPr>
        <w:t xml:space="preserve">були </w:t>
      </w:r>
      <w:r>
        <w:t>оновлен</w:t>
      </w:r>
      <w:r w:rsidR="00021EC4">
        <w:rPr>
          <w:lang w:val="uk-UA"/>
        </w:rPr>
        <w:t>і</w:t>
      </w:r>
      <w:r>
        <w:t>. Коли атрибут користувача відкликається з будь-якого А</w:t>
      </w:r>
      <w:r w:rsidR="00021EC4">
        <w:rPr>
          <w:lang w:val="uk-UA"/>
        </w:rPr>
        <w:t>Д</w:t>
      </w:r>
      <w:r>
        <w:t>,</w:t>
      </w:r>
      <w:r w:rsidR="00021EC4">
        <w:rPr>
          <w:lang w:val="uk-UA"/>
        </w:rPr>
        <w:t xml:space="preserve"> </w:t>
      </w:r>
      <w:r>
        <w:t>A</w:t>
      </w:r>
      <w:r w:rsidR="00021EC4">
        <w:rPr>
          <w:lang w:val="uk-UA"/>
        </w:rPr>
        <w:t>Д</w:t>
      </w:r>
      <w:r>
        <w:t xml:space="preserve"> генерує новий номер версії та генерує декілька</w:t>
      </w:r>
      <w:r w:rsidR="00021EC4">
        <w:rPr>
          <w:lang w:val="uk-UA"/>
        </w:rPr>
        <w:t xml:space="preserve"> </w:t>
      </w:r>
      <w:r>
        <w:t>ключі</w:t>
      </w:r>
      <w:r w:rsidR="00021EC4">
        <w:rPr>
          <w:lang w:val="uk-UA"/>
        </w:rPr>
        <w:t>в</w:t>
      </w:r>
      <w:r>
        <w:t xml:space="preserve"> оновлення користувача та ключ оновлення шифротексту. </w:t>
      </w:r>
      <w:r w:rsidR="00021EC4">
        <w:rPr>
          <w:lang w:val="uk-UA"/>
        </w:rPr>
        <w:t xml:space="preserve"> </w:t>
      </w:r>
      <w:r>
        <w:t xml:space="preserve">Тому що </w:t>
      </w:r>
      <w:r w:rsidR="00021EC4">
        <w:rPr>
          <w:lang w:val="uk-UA"/>
        </w:rPr>
        <w:t>ключі оновлення</w:t>
      </w:r>
      <w:r>
        <w:t xml:space="preserve"> відрізняються для різних користувачів, відкликани</w:t>
      </w:r>
      <w:r w:rsidR="00021EC4">
        <w:rPr>
          <w:lang w:val="uk-UA"/>
        </w:rPr>
        <w:t>й</w:t>
      </w:r>
      <w:r>
        <w:t xml:space="preserve"> користувач</w:t>
      </w:r>
      <w:r w:rsidR="00021EC4">
        <w:rPr>
          <w:lang w:val="uk-UA"/>
        </w:rPr>
        <w:t xml:space="preserve"> </w:t>
      </w:r>
      <w:r>
        <w:t>не може оновити свій секретний ключ, використовуючи ключі оновлення інших користувачів</w:t>
      </w:r>
      <w:r w:rsidR="00021EC4">
        <w:rPr>
          <w:lang w:val="uk-UA"/>
        </w:rPr>
        <w:t xml:space="preserve"> </w:t>
      </w:r>
      <w:r>
        <w:t>(</w:t>
      </w:r>
      <w:r w:rsidR="00021EC4">
        <w:rPr>
          <w:lang w:val="uk-UA"/>
        </w:rPr>
        <w:t>Зворотня</w:t>
      </w:r>
      <w:r>
        <w:t xml:space="preserve"> безпека). Використовуючи ключ оновлення шифротексту,</w:t>
      </w:r>
      <w:r w:rsidR="00021EC4">
        <w:rPr>
          <w:lang w:val="uk-UA"/>
        </w:rPr>
        <w:t xml:space="preserve"> </w:t>
      </w:r>
      <w:r>
        <w:t>компонент, пов'язаний з відкликаним у шифротексті, може</w:t>
      </w:r>
      <w:r w:rsidR="00021EC4">
        <w:rPr>
          <w:lang w:val="uk-UA"/>
        </w:rPr>
        <w:t xml:space="preserve"> </w:t>
      </w:r>
      <w:r>
        <w:t>оновити</w:t>
      </w:r>
      <w:r w:rsidR="00021EC4">
        <w:rPr>
          <w:lang w:val="uk-UA"/>
        </w:rPr>
        <w:t>ся</w:t>
      </w:r>
      <w:r>
        <w:t xml:space="preserve"> до поточної версії. Щоб підвищити ефективність,</w:t>
      </w:r>
      <w:r w:rsidR="00021EC4">
        <w:rPr>
          <w:lang w:val="uk-UA"/>
        </w:rPr>
        <w:t xml:space="preserve"> </w:t>
      </w:r>
      <w:r>
        <w:t xml:space="preserve">робоче навантаження оновлення шифротексту </w:t>
      </w:r>
      <w:r w:rsidR="00021EC4">
        <w:rPr>
          <w:lang w:val="uk-UA"/>
        </w:rPr>
        <w:t xml:space="preserve"> йде </w:t>
      </w:r>
      <w:r>
        <w:t>на сервер</w:t>
      </w:r>
      <w:r w:rsidR="00021EC4">
        <w:rPr>
          <w:lang w:val="uk-UA"/>
        </w:rPr>
        <w:t xml:space="preserve"> </w:t>
      </w:r>
      <w:r>
        <w:t xml:space="preserve">використовуючи метод повторного шифрування проксі, таким чином, щоб новий </w:t>
      </w:r>
      <w:r w:rsidR="00021EC4">
        <w:rPr>
          <w:lang w:val="uk-UA"/>
        </w:rPr>
        <w:t>к</w:t>
      </w:r>
      <w:r>
        <w:t>ористувач також може розшифрувати попередні опубліковані дані, які</w:t>
      </w:r>
      <w:r w:rsidR="00021EC4">
        <w:rPr>
          <w:lang w:val="uk-UA"/>
        </w:rPr>
        <w:t xml:space="preserve"> </w:t>
      </w:r>
      <w:r>
        <w:t>публіку</w:t>
      </w:r>
      <w:r w:rsidR="00021EC4">
        <w:rPr>
          <w:lang w:val="uk-UA"/>
        </w:rPr>
        <w:t>валися</w:t>
      </w:r>
      <w:r>
        <w:t xml:space="preserve"> до</w:t>
      </w:r>
      <w:r w:rsidR="00021EC4">
        <w:rPr>
          <w:lang w:val="uk-UA"/>
        </w:rPr>
        <w:t xml:space="preserve"> його</w:t>
      </w:r>
      <w:r>
        <w:t xml:space="preserve"> вступу в систему (</w:t>
      </w:r>
      <w:r w:rsidR="00021EC4">
        <w:rPr>
          <w:lang w:val="uk-UA"/>
        </w:rPr>
        <w:t>Зворотня</w:t>
      </w:r>
      <w:r w:rsidR="00021EC4">
        <w:t xml:space="preserve"> безпека</w:t>
      </w:r>
      <w:r>
        <w:t>).Більше того, всі користувачі повинні тримати останній секретний ключ</w:t>
      </w:r>
      <w:r w:rsidR="00021EC4">
        <w:rPr>
          <w:lang w:val="uk-UA"/>
        </w:rPr>
        <w:t xml:space="preserve"> а не</w:t>
      </w:r>
      <w:r>
        <w:t xml:space="preserve"> вести записи про всі попередні секретні ключі.</w:t>
      </w:r>
      <w:r w:rsidR="00EB2818">
        <w:rPr>
          <w:lang w:val="uk-UA"/>
        </w:rPr>
        <w:t xml:space="preserve"> </w:t>
      </w:r>
      <w:r>
        <w:t xml:space="preserve">Щоб реалізувати </w:t>
      </w:r>
      <w:r w:rsidR="00021EC4">
        <w:rPr>
          <w:lang w:val="uk-UA"/>
        </w:rPr>
        <w:t>детальний</w:t>
      </w:r>
      <w:r>
        <w:t xml:space="preserve"> контроль доступу, спочатку власник</w:t>
      </w:r>
      <w:r w:rsidR="00EB2818">
        <w:rPr>
          <w:lang w:val="uk-UA"/>
        </w:rPr>
        <w:t xml:space="preserve"> </w:t>
      </w:r>
      <w:r>
        <w:t xml:space="preserve">розділяє дані на </w:t>
      </w:r>
      <w:r>
        <w:lastRenderedPageBreak/>
        <w:t>кілька компонентів</w:t>
      </w:r>
      <w:r w:rsidR="00EB2818">
        <w:rPr>
          <w:lang w:val="uk-UA"/>
        </w:rPr>
        <w:t xml:space="preserve"> </w:t>
      </w:r>
      <w:r>
        <w:t>та шифрує кожен компонент даних</w:t>
      </w:r>
      <w:r w:rsidR="00EB2818">
        <w:rPr>
          <w:lang w:val="uk-UA"/>
        </w:rPr>
        <w:t xml:space="preserve"> </w:t>
      </w:r>
      <w:r>
        <w:t xml:space="preserve">різні </w:t>
      </w:r>
      <w:r w:rsidR="00EB2818">
        <w:rPr>
          <w:lang w:val="uk-UA"/>
        </w:rPr>
        <w:t xml:space="preserve">ключем </w:t>
      </w:r>
      <w:r>
        <w:t xml:space="preserve"> вмісту за допомогою симетричних методів шифрування.Потім власник застосовує </w:t>
      </w:r>
      <w:r w:rsidR="00EB2818">
        <w:rPr>
          <w:lang w:val="uk-UA"/>
        </w:rPr>
        <w:t xml:space="preserve">схему </w:t>
      </w:r>
      <w:r>
        <w:t>CP-ABE</w:t>
      </w:r>
      <w:r w:rsidR="00EB2818">
        <w:rPr>
          <w:lang w:val="uk-UA"/>
        </w:rPr>
        <w:t>(</w:t>
      </w:r>
      <w:r>
        <w:t>схема шифрування кожного ключа</w:t>
      </w:r>
      <w:r w:rsidR="00EB2818">
        <w:rPr>
          <w:lang w:val="uk-UA"/>
        </w:rPr>
        <w:t>)</w:t>
      </w:r>
      <w:r>
        <w:t>. Користувачі з різними атрибутами</w:t>
      </w:r>
      <w:r w:rsidR="00EB2818">
        <w:rPr>
          <w:lang w:val="uk-UA"/>
        </w:rPr>
        <w:t xml:space="preserve"> </w:t>
      </w:r>
      <w:r>
        <w:t>мож</w:t>
      </w:r>
      <w:r w:rsidR="00EB2818">
        <w:rPr>
          <w:lang w:val="uk-UA"/>
        </w:rPr>
        <w:t>уть</w:t>
      </w:r>
      <w:r>
        <w:t xml:space="preserve"> розшифрувати різну кількість ключів вмісту і таким чином отримати</w:t>
      </w:r>
      <w:r w:rsidR="00EB2818">
        <w:rPr>
          <w:lang w:val="uk-UA"/>
        </w:rPr>
        <w:t xml:space="preserve"> </w:t>
      </w:r>
      <w:r>
        <w:t>різн</w:t>
      </w:r>
      <w:r w:rsidR="00EB2818">
        <w:rPr>
          <w:lang w:val="uk-UA"/>
        </w:rPr>
        <w:t xml:space="preserve">у </w:t>
      </w:r>
      <w:r>
        <w:t>інформаці</w:t>
      </w:r>
      <w:r w:rsidR="00EB2818">
        <w:rPr>
          <w:lang w:val="uk-UA"/>
        </w:rPr>
        <w:t>ю</w:t>
      </w:r>
      <w:r>
        <w:t xml:space="preserve"> з одних і тих же даних.</w:t>
      </w:r>
    </w:p>
    <w:p w14:paraId="48B91690" w14:textId="77777777" w:rsidR="00FB1EE3" w:rsidRDefault="00FB1EE3" w:rsidP="00FB1EE3">
      <w:pPr>
        <w:ind w:firstLine="851"/>
        <w:jc w:val="both"/>
      </w:pPr>
    </w:p>
    <w:p w14:paraId="4B25D7FA" w14:textId="33A24713" w:rsidR="009C0FC6" w:rsidRDefault="00935391" w:rsidP="00141CF2">
      <w:pPr>
        <w:ind w:firstLine="426"/>
        <w:jc w:val="center"/>
      </w:pPr>
      <w:r>
        <w:rPr>
          <w:noProof/>
        </w:rPr>
        <w:drawing>
          <wp:inline distT="0" distB="0" distL="0" distR="0" wp14:anchorId="738D7E6A" wp14:editId="1B162437">
            <wp:extent cx="4865299" cy="34465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4032" cy="3452762"/>
                    </a:xfrm>
                    <a:prstGeom prst="rect">
                      <a:avLst/>
                    </a:prstGeom>
                  </pic:spPr>
                </pic:pic>
              </a:graphicData>
            </a:graphic>
          </wp:inline>
        </w:drawing>
      </w:r>
    </w:p>
    <w:p w14:paraId="652D518E" w14:textId="4B5D60DE" w:rsidR="009C0FC6" w:rsidRDefault="009C0FC6" w:rsidP="009C0FC6">
      <w:pPr>
        <w:ind w:firstLine="851"/>
        <w:jc w:val="center"/>
      </w:pPr>
      <w:r>
        <w:t xml:space="preserve">Рис. </w:t>
      </w:r>
      <w:r w:rsidR="005A4161">
        <w:rPr>
          <w:lang w:val="uk-UA"/>
        </w:rPr>
        <w:t>2</w:t>
      </w:r>
      <w:r>
        <w:t xml:space="preserve">. </w:t>
      </w:r>
      <w:r w:rsidR="005A4161">
        <w:rPr>
          <w:lang w:val="uk-UA"/>
        </w:rPr>
        <w:t>Схема децентралізованого доступу до даних</w:t>
      </w:r>
      <w:r>
        <w:t>.</w:t>
      </w:r>
    </w:p>
    <w:p w14:paraId="5859F9B1" w14:textId="77777777" w:rsidR="006A22EC" w:rsidRDefault="006A22EC" w:rsidP="009C0FC6">
      <w:pPr>
        <w:ind w:firstLine="851"/>
        <w:jc w:val="center"/>
      </w:pPr>
    </w:p>
    <w:p w14:paraId="169E9459" w14:textId="77777777" w:rsidR="009C0FC6" w:rsidRDefault="009C0FC6" w:rsidP="009C0FC6">
      <w:pPr>
        <w:ind w:firstLine="851"/>
        <w:jc w:val="center"/>
      </w:pPr>
    </w:p>
    <w:p w14:paraId="2876AA4C" w14:textId="7AA516B6" w:rsidR="006A16E7" w:rsidRPr="006A16E7" w:rsidRDefault="006A16E7" w:rsidP="006A16E7">
      <w:pPr>
        <w:suppressAutoHyphens w:val="0"/>
        <w:spacing w:after="160" w:line="259" w:lineRule="auto"/>
        <w:jc w:val="both"/>
        <w:rPr>
          <w:bCs/>
        </w:rPr>
      </w:pPr>
      <w:r w:rsidRPr="006A16E7">
        <w:rPr>
          <w:bCs/>
        </w:rPr>
        <w:t>У системі є п'ять об'єктів, як показано на рис. 2,</w:t>
      </w:r>
      <w:r w:rsidR="008F7C99">
        <w:rPr>
          <w:bCs/>
        </w:rPr>
        <w:t xml:space="preserve"> </w:t>
      </w:r>
      <w:r w:rsidR="008F7C99">
        <w:rPr>
          <w:bCs/>
          <w:lang w:val="uk-UA"/>
        </w:rPr>
        <w:t>центр сертифікації ключів</w:t>
      </w:r>
      <w:r w:rsidRPr="008F7C99">
        <w:rPr>
          <w:bCs/>
        </w:rPr>
        <w:t xml:space="preserve"> </w:t>
      </w:r>
      <w:r w:rsidRPr="006A16E7">
        <w:rPr>
          <w:bCs/>
        </w:rPr>
        <w:t>(</w:t>
      </w:r>
      <w:r w:rsidR="008F7C99">
        <w:rPr>
          <w:bCs/>
          <w:lang w:val="uk-UA"/>
        </w:rPr>
        <w:t>ЦСК</w:t>
      </w:r>
      <w:r w:rsidRPr="006A16E7">
        <w:rPr>
          <w:bCs/>
        </w:rPr>
        <w:t>), атрибут</w:t>
      </w:r>
      <w:r w:rsidR="008F7C99">
        <w:rPr>
          <w:bCs/>
          <w:lang w:val="uk-UA"/>
        </w:rPr>
        <w:t xml:space="preserve">и доступу </w:t>
      </w:r>
      <w:r w:rsidRPr="006A16E7">
        <w:rPr>
          <w:bCs/>
        </w:rPr>
        <w:t>(A</w:t>
      </w:r>
      <w:r w:rsidR="008F7C99">
        <w:rPr>
          <w:bCs/>
          <w:lang w:val="uk-UA"/>
        </w:rPr>
        <w:t>Д</w:t>
      </w:r>
      <w:r w:rsidRPr="006A16E7">
        <w:rPr>
          <w:bCs/>
        </w:rPr>
        <w:t xml:space="preserve">), </w:t>
      </w:r>
      <w:r w:rsidR="008F7C99">
        <w:rPr>
          <w:bCs/>
          <w:lang w:val="uk-UA"/>
        </w:rPr>
        <w:t xml:space="preserve">влассник, </w:t>
      </w:r>
      <w:r w:rsidRPr="006A16E7">
        <w:rPr>
          <w:bCs/>
        </w:rPr>
        <w:t xml:space="preserve"> хмарний сервер та користувач. </w:t>
      </w:r>
      <w:r w:rsidR="008F7C99">
        <w:rPr>
          <w:bCs/>
          <w:lang w:val="uk-UA"/>
        </w:rPr>
        <w:t>ЦСК</w:t>
      </w:r>
      <w:r w:rsidRPr="006A16E7">
        <w:rPr>
          <w:bCs/>
        </w:rPr>
        <w:t xml:space="preserve"> налаштовує систему, а також приймає реєстрацію всіх користувачів, а також</w:t>
      </w:r>
      <w:r w:rsidR="008F7C99">
        <w:rPr>
          <w:bCs/>
          <w:lang w:val="uk-UA"/>
        </w:rPr>
        <w:t xml:space="preserve"> </w:t>
      </w:r>
      <w:r w:rsidRPr="006A16E7">
        <w:rPr>
          <w:bCs/>
        </w:rPr>
        <w:t>А</w:t>
      </w:r>
      <w:r w:rsidR="008F7C99">
        <w:rPr>
          <w:bCs/>
          <w:lang w:val="uk-UA"/>
        </w:rPr>
        <w:t>Д</w:t>
      </w:r>
      <w:r w:rsidRPr="006A16E7">
        <w:rPr>
          <w:bCs/>
        </w:rPr>
        <w:t xml:space="preserve"> в системі. Кожному користувачеві в системі </w:t>
      </w:r>
      <w:r w:rsidR="008F7C99">
        <w:rPr>
          <w:bCs/>
          <w:lang w:val="uk-UA"/>
        </w:rPr>
        <w:t>ЦСЛ</w:t>
      </w:r>
      <w:r w:rsidRPr="006A16E7">
        <w:rPr>
          <w:bCs/>
        </w:rPr>
        <w:t xml:space="preserve"> присвоює йому унікальну іденти</w:t>
      </w:r>
      <w:r w:rsidR="008F7C99">
        <w:rPr>
          <w:bCs/>
          <w:lang w:val="uk-UA"/>
        </w:rPr>
        <w:t>фікатор</w:t>
      </w:r>
      <w:r w:rsidRPr="006A16E7">
        <w:rPr>
          <w:bCs/>
        </w:rPr>
        <w:t xml:space="preserve"> користувача, а також</w:t>
      </w:r>
      <w:r w:rsidR="008F7C99">
        <w:rPr>
          <w:bCs/>
          <w:lang w:val="uk-UA"/>
        </w:rPr>
        <w:t xml:space="preserve"> </w:t>
      </w:r>
      <w:r w:rsidRPr="006A16E7">
        <w:rPr>
          <w:bCs/>
        </w:rPr>
        <w:t xml:space="preserve">створює унікальний відкритий ключ для цього користувача. Однак </w:t>
      </w:r>
      <w:r w:rsidR="008F7C99">
        <w:rPr>
          <w:bCs/>
          <w:lang w:val="uk-UA"/>
        </w:rPr>
        <w:t>ЦСК</w:t>
      </w:r>
      <w:r w:rsidRPr="006A16E7">
        <w:rPr>
          <w:bCs/>
        </w:rPr>
        <w:t xml:space="preserve"> не </w:t>
      </w:r>
      <w:r w:rsidR="008F7C99">
        <w:rPr>
          <w:bCs/>
          <w:lang w:val="uk-UA"/>
        </w:rPr>
        <w:t>приймає</w:t>
      </w:r>
      <w:r w:rsidRPr="006A16E7">
        <w:rPr>
          <w:bCs/>
        </w:rPr>
        <w:t xml:space="preserve"> участь в управлінні атрибутами та</w:t>
      </w:r>
      <w:r w:rsidR="008F7C99">
        <w:rPr>
          <w:bCs/>
          <w:lang w:val="uk-UA"/>
        </w:rPr>
        <w:t xml:space="preserve"> </w:t>
      </w:r>
      <w:r w:rsidRPr="006A16E7">
        <w:rPr>
          <w:bCs/>
        </w:rPr>
        <w:t>створенн</w:t>
      </w:r>
      <w:r w:rsidR="008F7C99">
        <w:rPr>
          <w:bCs/>
          <w:lang w:val="uk-UA"/>
        </w:rPr>
        <w:t>і</w:t>
      </w:r>
      <w:r w:rsidRPr="006A16E7">
        <w:rPr>
          <w:bCs/>
        </w:rPr>
        <w:t xml:space="preserve"> секретних ключів, пов'язаних з атрибутами</w:t>
      </w:r>
      <w:r w:rsidR="008F7C99">
        <w:rPr>
          <w:bCs/>
          <w:lang w:val="uk-UA"/>
        </w:rPr>
        <w:t xml:space="preserve">. </w:t>
      </w:r>
      <w:r w:rsidRPr="006A16E7">
        <w:rPr>
          <w:bCs/>
        </w:rPr>
        <w:t>Наприклад,</w:t>
      </w:r>
      <w:r w:rsidR="008F7C99" w:rsidRPr="008F7C99">
        <w:rPr>
          <w:bCs/>
          <w:lang w:val="uk-UA"/>
        </w:rPr>
        <w:t xml:space="preserve"> </w:t>
      </w:r>
      <w:r w:rsidR="008F7C99">
        <w:rPr>
          <w:bCs/>
          <w:lang w:val="uk-UA"/>
        </w:rPr>
        <w:t>ЦСК</w:t>
      </w:r>
      <w:r w:rsidRPr="006A16E7">
        <w:rPr>
          <w:bCs/>
        </w:rPr>
        <w:t xml:space="preserve"> може бути адміністрацією соціального захисту</w:t>
      </w:r>
      <w:r w:rsidR="008F7C99">
        <w:rPr>
          <w:bCs/>
          <w:lang w:val="uk-UA"/>
        </w:rPr>
        <w:t xml:space="preserve">. </w:t>
      </w:r>
      <w:r w:rsidRPr="006A16E7">
        <w:rPr>
          <w:bCs/>
        </w:rPr>
        <w:t xml:space="preserve">Кожному користувачеві може бути виданий унікальний номер соціального страхування </w:t>
      </w:r>
      <w:r w:rsidR="008F7C99">
        <w:rPr>
          <w:bCs/>
          <w:lang w:val="uk-UA"/>
        </w:rPr>
        <w:t>в якості глобального ідентифікатора</w:t>
      </w:r>
      <w:r w:rsidRPr="006A16E7">
        <w:rPr>
          <w:bCs/>
        </w:rPr>
        <w:t>. Кожен</w:t>
      </w:r>
      <w:r w:rsidR="008F7C99">
        <w:rPr>
          <w:bCs/>
          <w:lang w:val="uk-UA"/>
        </w:rPr>
        <w:t xml:space="preserve"> </w:t>
      </w:r>
      <w:r w:rsidRPr="006A16E7">
        <w:rPr>
          <w:bCs/>
        </w:rPr>
        <w:t>A</w:t>
      </w:r>
      <w:r w:rsidR="008F7C99">
        <w:rPr>
          <w:bCs/>
          <w:lang w:val="uk-UA"/>
        </w:rPr>
        <w:t>Д</w:t>
      </w:r>
      <w:r w:rsidRPr="006A16E7">
        <w:rPr>
          <w:bCs/>
        </w:rPr>
        <w:t xml:space="preserve"> відповідає за надання права та відкликання атрибутів користувачів відповідно до</w:t>
      </w:r>
      <w:r w:rsidR="008F7C99">
        <w:rPr>
          <w:bCs/>
          <w:lang w:val="uk-UA"/>
        </w:rPr>
        <w:t xml:space="preserve"> </w:t>
      </w:r>
      <w:r w:rsidRPr="006A16E7">
        <w:rPr>
          <w:bCs/>
        </w:rPr>
        <w:t>їх рол</w:t>
      </w:r>
      <w:r w:rsidR="008F7C99">
        <w:rPr>
          <w:bCs/>
          <w:lang w:val="uk-UA"/>
        </w:rPr>
        <w:t>і</w:t>
      </w:r>
      <w:r w:rsidRPr="006A16E7">
        <w:rPr>
          <w:bCs/>
        </w:rPr>
        <w:t>. У запропонованій схемі кожен атрибут асоціюється з одним A</w:t>
      </w:r>
      <w:r w:rsidR="008F7C99">
        <w:rPr>
          <w:bCs/>
          <w:lang w:val="uk-UA"/>
        </w:rPr>
        <w:t>Д</w:t>
      </w:r>
      <w:r w:rsidRPr="006A16E7">
        <w:rPr>
          <w:bCs/>
        </w:rPr>
        <w:t>, але</w:t>
      </w:r>
      <w:r w:rsidR="008F7C99">
        <w:rPr>
          <w:bCs/>
          <w:lang w:val="uk-UA"/>
        </w:rPr>
        <w:t xml:space="preserve"> </w:t>
      </w:r>
      <w:r w:rsidRPr="006A16E7">
        <w:rPr>
          <w:bCs/>
        </w:rPr>
        <w:t>кожен А</w:t>
      </w:r>
      <w:r w:rsidR="008F7C99">
        <w:rPr>
          <w:bCs/>
          <w:lang w:val="uk-UA"/>
        </w:rPr>
        <w:t>Д</w:t>
      </w:r>
      <w:r w:rsidRPr="006A16E7">
        <w:rPr>
          <w:bCs/>
        </w:rPr>
        <w:t xml:space="preserve"> може керувати довільною кількістю атрибутів. І кожен А</w:t>
      </w:r>
      <w:r w:rsidR="008F7C99">
        <w:rPr>
          <w:bCs/>
          <w:lang w:val="uk-UA"/>
        </w:rPr>
        <w:t>Д</w:t>
      </w:r>
      <w:r w:rsidRPr="006A16E7">
        <w:rPr>
          <w:bCs/>
        </w:rPr>
        <w:t xml:space="preserve"> має </w:t>
      </w:r>
      <w:r w:rsidR="00B803AE">
        <w:rPr>
          <w:bCs/>
          <w:lang w:val="uk-UA"/>
        </w:rPr>
        <w:t xml:space="preserve">повний </w:t>
      </w:r>
      <w:r w:rsidRPr="006A16E7">
        <w:rPr>
          <w:bCs/>
        </w:rPr>
        <w:t>контроль над структурою і</w:t>
      </w:r>
      <w:r w:rsidR="008F7C99">
        <w:rPr>
          <w:bCs/>
          <w:lang w:val="uk-UA"/>
        </w:rPr>
        <w:t xml:space="preserve"> </w:t>
      </w:r>
      <w:r w:rsidRPr="006A16E7">
        <w:rPr>
          <w:bCs/>
        </w:rPr>
        <w:t>семантик</w:t>
      </w:r>
      <w:r w:rsidR="00B803AE">
        <w:rPr>
          <w:bCs/>
          <w:lang w:val="uk-UA"/>
        </w:rPr>
        <w:t>ою</w:t>
      </w:r>
      <w:r w:rsidRPr="006A16E7">
        <w:rPr>
          <w:bCs/>
        </w:rPr>
        <w:t xml:space="preserve"> його атрибутів. Кожен A</w:t>
      </w:r>
      <w:r w:rsidR="00B803AE">
        <w:rPr>
          <w:bCs/>
          <w:lang w:val="uk-UA"/>
        </w:rPr>
        <w:t>Д</w:t>
      </w:r>
      <w:r w:rsidRPr="006A16E7">
        <w:rPr>
          <w:bCs/>
        </w:rPr>
        <w:t xml:space="preserve"> відповідає за створення публічного ключа атрибутів для кожного його атрибут</w:t>
      </w:r>
      <w:r w:rsidR="00B803AE">
        <w:rPr>
          <w:bCs/>
          <w:lang w:val="uk-UA"/>
        </w:rPr>
        <w:t xml:space="preserve">у та </w:t>
      </w:r>
      <w:r w:rsidRPr="006A16E7">
        <w:rPr>
          <w:bCs/>
        </w:rPr>
        <w:t>керує секретним ключем для кожного користувача.</w:t>
      </w:r>
    </w:p>
    <w:p w14:paraId="182D2BA9" w14:textId="77777777" w:rsidR="008819FD" w:rsidRDefault="008819FD" w:rsidP="006A22EC">
      <w:pPr>
        <w:ind w:firstLine="851"/>
        <w:jc w:val="both"/>
        <w:rPr>
          <w:b/>
        </w:rPr>
      </w:pPr>
    </w:p>
    <w:p w14:paraId="4D92CE5A" w14:textId="24DEF36C" w:rsidR="008E38CD" w:rsidRDefault="009C0FC6" w:rsidP="006A22EC">
      <w:pPr>
        <w:ind w:firstLine="851"/>
        <w:jc w:val="both"/>
      </w:pPr>
      <w:r>
        <w:rPr>
          <w:b/>
        </w:rPr>
        <w:t>Висновки.</w:t>
      </w:r>
      <w:r w:rsidR="006A22EC">
        <w:rPr>
          <w:b/>
          <w:lang w:val="uk-UA"/>
        </w:rPr>
        <w:t xml:space="preserve"> </w:t>
      </w:r>
      <w:r w:rsidR="006A22EC">
        <w:t>У</w:t>
      </w:r>
      <w:r w:rsidR="006A22EC">
        <w:rPr>
          <w:lang w:val="uk-UA"/>
        </w:rPr>
        <w:t xml:space="preserve"> </w:t>
      </w:r>
      <w:r w:rsidR="006A22EC">
        <w:t>роботі</w:t>
      </w:r>
      <w:r w:rsidR="006A22EC">
        <w:rPr>
          <w:lang w:val="uk-UA"/>
        </w:rPr>
        <w:t xml:space="preserve"> було</w:t>
      </w:r>
      <w:r w:rsidR="006A22EC">
        <w:t xml:space="preserve"> запропон</w:t>
      </w:r>
      <w:r w:rsidR="006A22EC">
        <w:rPr>
          <w:lang w:val="uk-UA"/>
        </w:rPr>
        <w:t>овано</w:t>
      </w:r>
      <w:r w:rsidR="006A22EC">
        <w:t xml:space="preserve"> ефективну схему контролю доступу до даних для </w:t>
      </w:r>
      <w:r w:rsidR="006A22EC">
        <w:rPr>
          <w:lang w:val="uk-UA"/>
        </w:rPr>
        <w:t xml:space="preserve"> багатокористувацьких </w:t>
      </w:r>
      <w:r w:rsidR="006A22EC">
        <w:t xml:space="preserve">хмарних систем зберігання даних. </w:t>
      </w:r>
      <w:r w:rsidR="006A22EC">
        <w:rPr>
          <w:lang w:val="uk-UA"/>
        </w:rPr>
        <w:t>Також було побудовано</w:t>
      </w:r>
      <w:r w:rsidR="006A22EC">
        <w:t xml:space="preserve"> нову</w:t>
      </w:r>
      <w:r w:rsidR="006A22EC">
        <w:rPr>
          <w:lang w:val="uk-UA"/>
        </w:rPr>
        <w:t xml:space="preserve"> </w:t>
      </w:r>
      <w:r w:rsidR="006A22EC">
        <w:t>схем</w:t>
      </w:r>
      <w:r w:rsidR="006A22EC">
        <w:rPr>
          <w:lang w:val="uk-UA"/>
        </w:rPr>
        <w:t xml:space="preserve">му </w:t>
      </w:r>
      <w:r w:rsidR="006A22EC" w:rsidRPr="006A22EC">
        <w:rPr>
          <w:lang w:val="uk-UA"/>
        </w:rPr>
        <w:t>шифрування на основі атрибутів політики шифротексту</w:t>
      </w:r>
      <w:r w:rsidR="006A22EC">
        <w:t>, в якій основне обчислення дешифрування</w:t>
      </w:r>
      <w:r w:rsidR="006A22EC">
        <w:rPr>
          <w:lang w:val="uk-UA"/>
        </w:rPr>
        <w:t xml:space="preserve"> </w:t>
      </w:r>
      <w:r w:rsidR="006A22EC">
        <w:t>передаються на сервер.</w:t>
      </w:r>
      <w:r w:rsidR="006A22EC" w:rsidRPr="006A22EC">
        <w:t xml:space="preserve"> </w:t>
      </w:r>
      <w:r w:rsidR="006A22EC">
        <w:t xml:space="preserve">Ця схема </w:t>
      </w:r>
      <w:r w:rsidR="006A22EC">
        <w:rPr>
          <w:lang w:val="uk-UA"/>
        </w:rPr>
        <w:t>може</w:t>
      </w:r>
      <w:r w:rsidR="006A22EC">
        <w:t xml:space="preserve"> застосувати</w:t>
      </w:r>
      <w:r w:rsidR="006A22EC">
        <w:rPr>
          <w:lang w:val="uk-UA"/>
        </w:rPr>
        <w:t>ся</w:t>
      </w:r>
      <w:r w:rsidR="006A22EC">
        <w:t xml:space="preserve"> в системах </w:t>
      </w:r>
      <w:r w:rsidR="006A22EC">
        <w:rPr>
          <w:lang w:val="uk-UA"/>
        </w:rPr>
        <w:t>хмарного зберігання даних</w:t>
      </w:r>
      <w:r w:rsidR="006A22EC">
        <w:t>.</w:t>
      </w:r>
    </w:p>
    <w:p w14:paraId="48594CAA" w14:textId="17F0B96E" w:rsidR="008819FD" w:rsidRDefault="008819FD" w:rsidP="006A16E7">
      <w:pPr>
        <w:suppressAutoHyphens w:val="0"/>
        <w:spacing w:after="160" w:line="259" w:lineRule="auto"/>
        <w:jc w:val="center"/>
        <w:rPr>
          <w:b/>
        </w:rPr>
      </w:pPr>
    </w:p>
    <w:p w14:paraId="09066BEF" w14:textId="77777777" w:rsidR="008819FD" w:rsidRDefault="008819FD" w:rsidP="006A16E7">
      <w:pPr>
        <w:suppressAutoHyphens w:val="0"/>
        <w:spacing w:after="160" w:line="259" w:lineRule="auto"/>
        <w:jc w:val="center"/>
        <w:rPr>
          <w:b/>
        </w:rPr>
      </w:pPr>
    </w:p>
    <w:p w14:paraId="2AEEEBC0" w14:textId="27F3A04C" w:rsidR="009C0FC6" w:rsidRPr="006A16E7" w:rsidRDefault="009C0FC6" w:rsidP="006A16E7">
      <w:pPr>
        <w:suppressAutoHyphens w:val="0"/>
        <w:spacing w:after="160" w:line="259" w:lineRule="auto"/>
        <w:jc w:val="center"/>
        <w:rPr>
          <w:b/>
        </w:rPr>
      </w:pPr>
      <w:r>
        <w:rPr>
          <w:b/>
        </w:rPr>
        <w:lastRenderedPageBreak/>
        <w:t>Література</w:t>
      </w:r>
    </w:p>
    <w:p w14:paraId="5A74A67D" w14:textId="6BC461E9" w:rsidR="000C4281" w:rsidRPr="000C4281" w:rsidRDefault="00D47177" w:rsidP="000C4281">
      <w:pPr>
        <w:pStyle w:val="ListParagraph"/>
        <w:numPr>
          <w:ilvl w:val="0"/>
          <w:numId w:val="1"/>
        </w:numPr>
        <w:jc w:val="both"/>
        <w:rPr>
          <w:lang w:val="en-US"/>
        </w:rPr>
      </w:pPr>
      <w:r w:rsidRPr="000C4281">
        <w:rPr>
          <w:lang w:val="en-US"/>
        </w:rPr>
        <w:t xml:space="preserve">Mell, P., &amp; </w:t>
      </w:r>
      <w:proofErr w:type="spellStart"/>
      <w:r w:rsidRPr="000C4281">
        <w:rPr>
          <w:lang w:val="en-US"/>
        </w:rPr>
        <w:t>Grance</w:t>
      </w:r>
      <w:proofErr w:type="spellEnd"/>
      <w:r w:rsidRPr="000C4281">
        <w:rPr>
          <w:lang w:val="en-US"/>
        </w:rPr>
        <w:t xml:space="preserve">, T. (2011, </w:t>
      </w:r>
      <w:proofErr w:type="spellStart"/>
      <w:r w:rsidRPr="000C4281">
        <w:rPr>
          <w:lang w:val="en-US"/>
        </w:rPr>
        <w:t>september</w:t>
      </w:r>
      <w:proofErr w:type="spellEnd"/>
      <w:r w:rsidRPr="000C4281">
        <w:rPr>
          <w:lang w:val="en-US"/>
        </w:rPr>
        <w:t xml:space="preserve">). The NIST </w:t>
      </w:r>
      <w:proofErr w:type="spellStart"/>
      <w:r w:rsidRPr="000C4281">
        <w:rPr>
          <w:lang w:val="en-US"/>
        </w:rPr>
        <w:t>Defination</w:t>
      </w:r>
      <w:proofErr w:type="spellEnd"/>
      <w:r w:rsidRPr="000C4281">
        <w:rPr>
          <w:lang w:val="en-US"/>
        </w:rPr>
        <w:t xml:space="preserve"> of Cloud Computing. Gaithersburg, MD, United States. Retrieved September 2016, from </w:t>
      </w:r>
      <w:hyperlink r:id="rId9" w:history="1">
        <w:r w:rsidR="000C4281" w:rsidRPr="000C4281">
          <w:rPr>
            <w:rStyle w:val="Hyperlink"/>
            <w:lang w:val="en-US"/>
          </w:rPr>
          <w:t>http://csrc.nist.gov/publications/nistpubs/800-145/SP800-145.pdf</w:t>
        </w:r>
      </w:hyperlink>
    </w:p>
    <w:p w14:paraId="5D9E3169" w14:textId="75930AD2" w:rsidR="000C4281" w:rsidRPr="000C4281" w:rsidRDefault="000C4281" w:rsidP="000C4281">
      <w:pPr>
        <w:pStyle w:val="ListParagraph"/>
        <w:numPr>
          <w:ilvl w:val="0"/>
          <w:numId w:val="1"/>
        </w:numPr>
        <w:jc w:val="both"/>
        <w:rPr>
          <w:lang w:val="en-US"/>
        </w:rPr>
      </w:pPr>
      <w:r w:rsidRPr="000C4281">
        <w:rPr>
          <w:lang w:val="en-US"/>
        </w:rPr>
        <w:t xml:space="preserve">Dhar, S. (2012). From Outsourcing to Cloud Computing: Evolution of </w:t>
      </w:r>
      <w:proofErr w:type="gramStart"/>
      <w:r w:rsidRPr="000C4281">
        <w:rPr>
          <w:lang w:val="en-US"/>
        </w:rPr>
        <w:t>it</w:t>
      </w:r>
      <w:proofErr w:type="gramEnd"/>
      <w:r w:rsidRPr="000C4281">
        <w:rPr>
          <w:lang w:val="en-US"/>
        </w:rPr>
        <w:t xml:space="preserve"> Services.  Management Research Review, 35(8), 664-675. 3]  </w:t>
      </w:r>
    </w:p>
    <w:p w14:paraId="4AB8662C" w14:textId="321D5D62" w:rsidR="000C4281" w:rsidRDefault="000C4281" w:rsidP="00DD0E21">
      <w:pPr>
        <w:pStyle w:val="ListParagraph"/>
        <w:numPr>
          <w:ilvl w:val="0"/>
          <w:numId w:val="1"/>
        </w:numPr>
        <w:jc w:val="both"/>
        <w:rPr>
          <w:lang w:val="en-US"/>
        </w:rPr>
      </w:pPr>
      <w:proofErr w:type="spellStart"/>
      <w:r w:rsidRPr="000C4281">
        <w:rPr>
          <w:lang w:val="en-US"/>
        </w:rPr>
        <w:t>Ogu</w:t>
      </w:r>
      <w:proofErr w:type="spellEnd"/>
      <w:r w:rsidRPr="000C4281">
        <w:rPr>
          <w:lang w:val="en-US"/>
        </w:rPr>
        <w:t xml:space="preserve">, E. C., </w:t>
      </w:r>
      <w:proofErr w:type="spellStart"/>
      <w:r w:rsidRPr="000C4281">
        <w:rPr>
          <w:lang w:val="en-US"/>
        </w:rPr>
        <w:t>Alao</w:t>
      </w:r>
      <w:proofErr w:type="spellEnd"/>
      <w:r w:rsidRPr="000C4281">
        <w:rPr>
          <w:lang w:val="en-US"/>
        </w:rPr>
        <w:t xml:space="preserve">, O., </w:t>
      </w:r>
      <w:proofErr w:type="spellStart"/>
      <w:r w:rsidRPr="000C4281">
        <w:rPr>
          <w:lang w:val="en-US"/>
        </w:rPr>
        <w:t>Omotunde</w:t>
      </w:r>
      <w:proofErr w:type="spellEnd"/>
      <w:r w:rsidRPr="000C4281">
        <w:rPr>
          <w:lang w:val="en-US"/>
        </w:rPr>
        <w:t xml:space="preserve">, A., </w:t>
      </w:r>
      <w:proofErr w:type="spellStart"/>
      <w:r w:rsidRPr="000C4281">
        <w:rPr>
          <w:lang w:val="en-US"/>
        </w:rPr>
        <w:t>gbonna</w:t>
      </w:r>
      <w:proofErr w:type="spellEnd"/>
      <w:r w:rsidRPr="000C4281">
        <w:rPr>
          <w:lang w:val="en-US"/>
        </w:rPr>
        <w:t xml:space="preserve">, A., &amp; </w:t>
      </w:r>
      <w:proofErr w:type="spellStart"/>
      <w:r w:rsidRPr="000C4281">
        <w:rPr>
          <w:lang w:val="en-US"/>
        </w:rPr>
        <w:t>Izang</w:t>
      </w:r>
      <w:proofErr w:type="spellEnd"/>
      <w:r w:rsidRPr="000C4281">
        <w:rPr>
          <w:lang w:val="en-US"/>
        </w:rPr>
        <w:t xml:space="preserve">, A. (2014). Partitioning of Resource Provisions for Cloud Computing Infrastructure against DoS and DDoS Attacks. International Journal of Advanced Research in Computer Science, </w:t>
      </w:r>
      <w:proofErr w:type="gramStart"/>
      <w:r w:rsidRPr="000C4281">
        <w:rPr>
          <w:lang w:val="en-US"/>
        </w:rPr>
        <w:t>V(</w:t>
      </w:r>
      <w:proofErr w:type="gramEnd"/>
      <w:r w:rsidRPr="000C4281">
        <w:rPr>
          <w:lang w:val="en-US"/>
        </w:rPr>
        <w:t>7), 67-71. doi:10.13140/2.1.2259.7129</w:t>
      </w:r>
    </w:p>
    <w:p w14:paraId="5BD5EEEC" w14:textId="733E9071" w:rsidR="000F4426" w:rsidRDefault="000F4426" w:rsidP="000F4426">
      <w:pPr>
        <w:pStyle w:val="ListParagraph"/>
        <w:numPr>
          <w:ilvl w:val="0"/>
          <w:numId w:val="1"/>
        </w:numPr>
        <w:jc w:val="both"/>
        <w:rPr>
          <w:lang w:val="en-US"/>
        </w:rPr>
      </w:pPr>
      <w:proofErr w:type="spellStart"/>
      <w:r w:rsidRPr="000F4426">
        <w:rPr>
          <w:lang w:val="en-US"/>
        </w:rPr>
        <w:t>Atchinson</w:t>
      </w:r>
      <w:proofErr w:type="spellEnd"/>
      <w:r w:rsidRPr="000F4426">
        <w:rPr>
          <w:lang w:val="en-US"/>
        </w:rPr>
        <w:t xml:space="preserve">, Brian K.; Fox, Daniel M. (May–June 1997). "The Politics </w:t>
      </w:r>
      <w:proofErr w:type="gramStart"/>
      <w:r w:rsidRPr="000F4426">
        <w:rPr>
          <w:lang w:val="en-US"/>
        </w:rPr>
        <w:t>Of</w:t>
      </w:r>
      <w:proofErr w:type="gramEnd"/>
      <w:r w:rsidRPr="000F4426">
        <w:rPr>
          <w:lang w:val="en-US"/>
        </w:rPr>
        <w:t xml:space="preserve"> The Health Insurance Portability And Accountability Act" (PDF). Health Affairs. 16 (3): 146–150. doi:10.1377/hlthaff.16.3.146. Archived (PDF) from the original on 2014-01-16.</w:t>
      </w:r>
    </w:p>
    <w:p w14:paraId="0F1B1417" w14:textId="2DCDF127" w:rsidR="00F95A7E" w:rsidRPr="008819FD" w:rsidRDefault="000F4426" w:rsidP="008819FD">
      <w:pPr>
        <w:pStyle w:val="ListParagraph"/>
        <w:numPr>
          <w:ilvl w:val="0"/>
          <w:numId w:val="1"/>
        </w:numPr>
        <w:jc w:val="both"/>
        <w:rPr>
          <w:lang w:val="en-US"/>
        </w:rPr>
      </w:pPr>
      <w:r w:rsidRPr="000F4426">
        <w:rPr>
          <w:lang w:val="en-US"/>
        </w:rPr>
        <w:t>"What You Need to Know About PCI DSS Compliance: UK Costs &amp; Checklist". Retrieved December 18, 2018.</w:t>
      </w:r>
    </w:p>
    <w:p w14:paraId="73BC6053" w14:textId="7A0C9AB8" w:rsidR="000F4426" w:rsidRPr="000F4426" w:rsidRDefault="000F4426" w:rsidP="000F4426">
      <w:pPr>
        <w:pStyle w:val="ListParagraph"/>
        <w:numPr>
          <w:ilvl w:val="0"/>
          <w:numId w:val="1"/>
        </w:numPr>
        <w:jc w:val="both"/>
        <w:rPr>
          <w:lang w:val="en-US"/>
        </w:rPr>
      </w:pPr>
      <w:r w:rsidRPr="000F4426">
        <w:rPr>
          <w:lang w:val="en-US"/>
        </w:rPr>
        <w:t>"U.S. State Department – Policy – Directorate of Defense Trade Controls". Pmddtc.state.gov. Archived from the original on September 14, 2010. Retrieved July 8, 2010.</w:t>
      </w:r>
    </w:p>
    <w:p w14:paraId="4396F6BB" w14:textId="532B0B91" w:rsidR="00EA5EA1" w:rsidRPr="00DD0E21" w:rsidRDefault="00EA5EA1" w:rsidP="00DD0E21">
      <w:pPr>
        <w:pStyle w:val="ListParagraph"/>
        <w:numPr>
          <w:ilvl w:val="0"/>
          <w:numId w:val="1"/>
        </w:numPr>
        <w:jc w:val="both"/>
        <w:rPr>
          <w:lang w:val="en-US"/>
        </w:rPr>
      </w:pPr>
      <w:r w:rsidRPr="00EA5EA1">
        <w:rPr>
          <w:lang w:val="en-US"/>
        </w:rPr>
        <w:t xml:space="preserve">Presidency of the Council: "Compromise text. Several partial general approaches have been instrumental in converging views in Council on the proposal for a General Data Protection Regulation in its entirety. The text on the Regulation which the Presidency submits for approval as a General Approach appears in annex, « 201 pages, 11 June 2015, PDF, </w:t>
      </w:r>
      <w:hyperlink r:id="rId10" w:history="1">
        <w:r w:rsidRPr="00364A3E">
          <w:rPr>
            <w:rStyle w:val="Hyperlink"/>
            <w:lang w:val="en-US"/>
          </w:rPr>
          <w:t>http://data.consilium.europa.eu/doc/document/ST-9565-2015-INIT/en/pdf</w:t>
        </w:r>
      </w:hyperlink>
    </w:p>
    <w:p w14:paraId="50E037C2" w14:textId="015C35D7" w:rsidR="00EA5EA1" w:rsidRDefault="00EA5EA1" w:rsidP="00EA5EA1">
      <w:pPr>
        <w:pStyle w:val="ListParagraph"/>
        <w:numPr>
          <w:ilvl w:val="0"/>
          <w:numId w:val="1"/>
        </w:numPr>
        <w:rPr>
          <w:lang w:val="en-US"/>
        </w:rPr>
      </w:pPr>
      <w:proofErr w:type="spellStart"/>
      <w:r w:rsidRPr="00EA5EA1">
        <w:rPr>
          <w:lang w:val="en-US"/>
        </w:rPr>
        <w:t>Atchinson</w:t>
      </w:r>
      <w:proofErr w:type="spellEnd"/>
      <w:r w:rsidRPr="00EA5EA1">
        <w:rPr>
          <w:lang w:val="en-US"/>
        </w:rPr>
        <w:t xml:space="preserve">, Brian K.; Fox, Daniel M. (May–June 1997). The Politics </w:t>
      </w:r>
      <w:proofErr w:type="gramStart"/>
      <w:r w:rsidRPr="00EA5EA1">
        <w:rPr>
          <w:lang w:val="en-US"/>
        </w:rPr>
        <w:t>Of</w:t>
      </w:r>
      <w:proofErr w:type="gramEnd"/>
      <w:r w:rsidRPr="00EA5EA1">
        <w:rPr>
          <w:lang w:val="en-US"/>
        </w:rPr>
        <w:t xml:space="preserve"> The Health Insurance Portability And Accountability Act. Health Affairs[</w:t>
      </w:r>
      <w:proofErr w:type="spellStart"/>
      <w:r w:rsidRPr="00EA5EA1">
        <w:rPr>
          <w:lang w:val="en-US"/>
        </w:rPr>
        <w:t>en</w:t>
      </w:r>
      <w:proofErr w:type="spellEnd"/>
      <w:r w:rsidRPr="00EA5EA1">
        <w:rPr>
          <w:lang w:val="en-US"/>
        </w:rPr>
        <w:t>] 16 (3): 146–150. doi:10.1377/hlthaff.16.3.146</w:t>
      </w:r>
    </w:p>
    <w:p w14:paraId="498A3832" w14:textId="2D151643" w:rsidR="00F95A7E" w:rsidRPr="008819FD" w:rsidRDefault="00F95A7E" w:rsidP="008819FD">
      <w:pPr>
        <w:pStyle w:val="ListParagraph"/>
        <w:numPr>
          <w:ilvl w:val="0"/>
          <w:numId w:val="1"/>
        </w:numPr>
        <w:jc w:val="both"/>
        <w:rPr>
          <w:lang w:val="en-US"/>
        </w:rPr>
      </w:pPr>
      <w:r w:rsidRPr="00F95A7E">
        <w:rPr>
          <w:lang w:val="en-US"/>
        </w:rPr>
        <w:t>1McClennan, Jennifer P.; Schick, Vadim (2007). "O, Privacy: Canada's Importance in the Development of the International Data Privacy Regime". Georgetown Journal of International Law. 38: 669–693.</w:t>
      </w:r>
    </w:p>
    <w:p w14:paraId="2B7E3901" w14:textId="5BE28992" w:rsidR="009C0FC6" w:rsidRPr="00D57FAC" w:rsidRDefault="007A4FC2" w:rsidP="00DD0E21">
      <w:pPr>
        <w:pStyle w:val="ListParagraph"/>
        <w:numPr>
          <w:ilvl w:val="0"/>
          <w:numId w:val="1"/>
        </w:numPr>
        <w:jc w:val="both"/>
        <w:rPr>
          <w:lang w:val="en-US"/>
        </w:rPr>
      </w:pPr>
      <w:r w:rsidRPr="007A4FC2">
        <w:rPr>
          <w:lang w:val="en-US"/>
        </w:rPr>
        <w:t xml:space="preserve">A. B. </w:t>
      </w:r>
      <w:proofErr w:type="spellStart"/>
      <w:r w:rsidRPr="007A4FC2">
        <w:rPr>
          <w:lang w:val="en-US"/>
        </w:rPr>
        <w:t>Lewko</w:t>
      </w:r>
      <w:proofErr w:type="spellEnd"/>
      <w:r w:rsidRPr="007A4FC2">
        <w:rPr>
          <w:lang w:val="en-US"/>
        </w:rPr>
        <w:t xml:space="preserve"> and B. Waters, “Decentralizing attribute-based encryption,” in EUROCRYPT’11. </w:t>
      </w:r>
      <w:r w:rsidRPr="008819FD">
        <w:rPr>
          <w:lang w:val="en-US"/>
        </w:rPr>
        <w:t>Springer, 2011, pp. 568–588.</w:t>
      </w:r>
    </w:p>
    <w:p w14:paraId="329A9255" w14:textId="598D464A" w:rsidR="000C4281" w:rsidRDefault="00D57FAC" w:rsidP="004C0A50">
      <w:pPr>
        <w:pStyle w:val="ListParagraph"/>
        <w:numPr>
          <w:ilvl w:val="0"/>
          <w:numId w:val="1"/>
        </w:numPr>
        <w:jc w:val="both"/>
        <w:rPr>
          <w:lang w:val="en-US"/>
        </w:rPr>
      </w:pPr>
      <w:proofErr w:type="spellStart"/>
      <w:r w:rsidRPr="00D57FAC">
        <w:rPr>
          <w:lang w:val="en-US"/>
        </w:rPr>
        <w:t>Xiaoyun</w:t>
      </w:r>
      <w:proofErr w:type="spellEnd"/>
      <w:r w:rsidRPr="00D57FAC">
        <w:rPr>
          <w:lang w:val="en-US"/>
        </w:rPr>
        <w:t xml:space="preserve"> Wang, </w:t>
      </w:r>
      <w:proofErr w:type="spellStart"/>
      <w:r w:rsidRPr="00D57FAC">
        <w:rPr>
          <w:lang w:val="en-US"/>
        </w:rPr>
        <w:t>Dengguo</w:t>
      </w:r>
      <w:proofErr w:type="spellEnd"/>
      <w:r w:rsidRPr="00D57FAC">
        <w:rPr>
          <w:lang w:val="en-US"/>
        </w:rPr>
        <w:t xml:space="preserve"> Feng, </w:t>
      </w:r>
      <w:proofErr w:type="spellStart"/>
      <w:r w:rsidRPr="00D57FAC">
        <w:rPr>
          <w:lang w:val="en-US"/>
        </w:rPr>
        <w:t>Xuejia</w:t>
      </w:r>
      <w:proofErr w:type="spellEnd"/>
      <w:r w:rsidRPr="00D57FAC">
        <w:rPr>
          <w:lang w:val="en-US"/>
        </w:rPr>
        <w:t xml:space="preserve"> Lai, </w:t>
      </w:r>
      <w:proofErr w:type="spellStart"/>
      <w:r w:rsidRPr="00D57FAC">
        <w:rPr>
          <w:lang w:val="en-US"/>
        </w:rPr>
        <w:t>Hongbo</w:t>
      </w:r>
      <w:proofErr w:type="spellEnd"/>
      <w:r w:rsidRPr="00D57FAC">
        <w:rPr>
          <w:lang w:val="en-US"/>
        </w:rPr>
        <w:t xml:space="preserve"> Yu: Collisions for Hash Functions MD4, MD5, HAVAL-128 and RIPEMD, Cryptology </w:t>
      </w:r>
      <w:proofErr w:type="spellStart"/>
      <w:r w:rsidRPr="00D57FAC">
        <w:rPr>
          <w:lang w:val="en-US"/>
        </w:rPr>
        <w:t>ePrint</w:t>
      </w:r>
      <w:proofErr w:type="spellEnd"/>
      <w:r w:rsidRPr="00D57FAC">
        <w:rPr>
          <w:lang w:val="en-US"/>
        </w:rPr>
        <w:t xml:space="preserve"> Archive Report 2004/199, 16 Aug 2004, revised 17 Aug 2004. Retrieved July 27, 2008.</w:t>
      </w:r>
    </w:p>
    <w:p w14:paraId="1BCE689D" w14:textId="377A3A4C" w:rsidR="004C0A50" w:rsidRPr="004C0A50" w:rsidRDefault="004C0A50" w:rsidP="004C0A50">
      <w:pPr>
        <w:pStyle w:val="ListParagraph"/>
        <w:numPr>
          <w:ilvl w:val="0"/>
          <w:numId w:val="1"/>
        </w:numPr>
        <w:jc w:val="both"/>
        <w:rPr>
          <w:lang w:val="en-US"/>
        </w:rPr>
      </w:pPr>
      <w:r w:rsidRPr="004C0A50">
        <w:rPr>
          <w:lang w:val="en-US"/>
        </w:rPr>
        <w:t xml:space="preserve">M. Chase, “Multi-authority </w:t>
      </w:r>
      <w:proofErr w:type="gramStart"/>
      <w:r w:rsidRPr="004C0A50">
        <w:rPr>
          <w:lang w:val="en-US"/>
        </w:rPr>
        <w:t>attribute based</w:t>
      </w:r>
      <w:proofErr w:type="gramEnd"/>
      <w:r w:rsidRPr="004C0A50">
        <w:rPr>
          <w:lang w:val="en-US"/>
        </w:rPr>
        <w:t xml:space="preserve"> encryption,” in TCC’07. </w:t>
      </w:r>
      <w:r>
        <w:t>Springer, 2007, pp. 515–534.</w:t>
      </w:r>
    </w:p>
    <w:p w14:paraId="671B3FDC" w14:textId="6475AED5" w:rsidR="004C0A50" w:rsidRPr="004C0A50" w:rsidRDefault="004C0A50" w:rsidP="004C0A50">
      <w:pPr>
        <w:pStyle w:val="ListParagraph"/>
        <w:numPr>
          <w:ilvl w:val="0"/>
          <w:numId w:val="1"/>
        </w:numPr>
        <w:jc w:val="both"/>
        <w:rPr>
          <w:lang w:val="en-US"/>
        </w:rPr>
      </w:pPr>
      <w:r w:rsidRPr="004C0A50">
        <w:rPr>
          <w:lang w:val="en-US"/>
        </w:rPr>
        <w:t>K. Yang, X. Jia, and K. Ren, “</w:t>
      </w:r>
      <w:proofErr w:type="spellStart"/>
      <w:r w:rsidRPr="004C0A50">
        <w:rPr>
          <w:lang w:val="en-US"/>
        </w:rPr>
        <w:t>Dac</w:t>
      </w:r>
      <w:proofErr w:type="spellEnd"/>
      <w:r w:rsidRPr="004C0A50">
        <w:rPr>
          <w:lang w:val="en-US"/>
        </w:rPr>
        <w:t xml:space="preserve">-macs: Effective data access control for multi-authority cloud storage systems,” IACR Cryptology </w:t>
      </w:r>
      <w:proofErr w:type="spellStart"/>
      <w:r w:rsidRPr="004C0A50">
        <w:rPr>
          <w:lang w:val="en-US"/>
        </w:rPr>
        <w:t>ePrint</w:t>
      </w:r>
      <w:proofErr w:type="spellEnd"/>
      <w:r w:rsidRPr="004C0A50">
        <w:rPr>
          <w:lang w:val="en-US"/>
        </w:rPr>
        <w:t xml:space="preserve"> Archive, vol. 419, pp. 1–12, 2012.</w:t>
      </w:r>
    </w:p>
    <w:p w14:paraId="6BEC4A5A" w14:textId="77777777" w:rsidR="00334184" w:rsidRPr="004C0A50" w:rsidRDefault="00334184">
      <w:pPr>
        <w:rPr>
          <w:lang w:val="en-US"/>
        </w:rPr>
      </w:pPr>
    </w:p>
    <w:sectPr w:rsidR="00334184" w:rsidRPr="004C0A50">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A4558"/>
    <w:multiLevelType w:val="hybridMultilevel"/>
    <w:tmpl w:val="1D1637D0"/>
    <w:lvl w:ilvl="0" w:tplc="FD6CCC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5B"/>
    <w:rsid w:val="00021EC4"/>
    <w:rsid w:val="000C4281"/>
    <w:rsid w:val="000D7148"/>
    <w:rsid w:val="000F4426"/>
    <w:rsid w:val="00141CF2"/>
    <w:rsid w:val="00282490"/>
    <w:rsid w:val="0030102B"/>
    <w:rsid w:val="00334184"/>
    <w:rsid w:val="004472BD"/>
    <w:rsid w:val="004C0A50"/>
    <w:rsid w:val="004E25E6"/>
    <w:rsid w:val="005A4161"/>
    <w:rsid w:val="005E6151"/>
    <w:rsid w:val="006A16E7"/>
    <w:rsid w:val="006A22EC"/>
    <w:rsid w:val="00702877"/>
    <w:rsid w:val="007A1F9F"/>
    <w:rsid w:val="007A4FC2"/>
    <w:rsid w:val="008819FD"/>
    <w:rsid w:val="008E38CD"/>
    <w:rsid w:val="008F7C99"/>
    <w:rsid w:val="00935391"/>
    <w:rsid w:val="009C0FC6"/>
    <w:rsid w:val="009D153A"/>
    <w:rsid w:val="00A23C5B"/>
    <w:rsid w:val="00AE7DC7"/>
    <w:rsid w:val="00B56EAD"/>
    <w:rsid w:val="00B803AE"/>
    <w:rsid w:val="00BF1127"/>
    <w:rsid w:val="00D47177"/>
    <w:rsid w:val="00D57FAC"/>
    <w:rsid w:val="00D75508"/>
    <w:rsid w:val="00DD0E21"/>
    <w:rsid w:val="00E765C2"/>
    <w:rsid w:val="00EA5EA1"/>
    <w:rsid w:val="00EB2818"/>
    <w:rsid w:val="00EC475B"/>
    <w:rsid w:val="00F1404B"/>
    <w:rsid w:val="00F95A7E"/>
    <w:rsid w:val="00FB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1368"/>
  <w15:chartTrackingRefBased/>
  <w15:docId w15:val="{0A47AEA3-D6F7-4A3C-9C34-B4490D75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BD"/>
    <w:pPr>
      <w:suppressAutoHyphens/>
      <w:spacing w:after="0" w:line="240" w:lineRule="auto"/>
    </w:pPr>
    <w:rPr>
      <w:rFonts w:ascii="Times New Roman" w:eastAsia="Times New Roman" w:hAnsi="Times New Roman" w:cs="Times New Roman"/>
      <w:sz w:val="24"/>
      <w:szCs w:val="20"/>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C0FC6"/>
    <w:pPr>
      <w:jc w:val="both"/>
    </w:pPr>
  </w:style>
  <w:style w:type="character" w:customStyle="1" w:styleId="BodyTextChar">
    <w:name w:val="Body Text Char"/>
    <w:basedOn w:val="DefaultParagraphFont"/>
    <w:link w:val="BodyText"/>
    <w:semiHidden/>
    <w:rsid w:val="009C0FC6"/>
    <w:rPr>
      <w:rFonts w:ascii="Times New Roman" w:eastAsia="Times New Roman" w:hAnsi="Times New Roman" w:cs="Times New Roman"/>
      <w:sz w:val="20"/>
      <w:szCs w:val="20"/>
      <w:lang w:val="ru-RU" w:eastAsia="zh-CN"/>
    </w:rPr>
  </w:style>
  <w:style w:type="paragraph" w:styleId="ListParagraph">
    <w:name w:val="List Paragraph"/>
    <w:basedOn w:val="Normal"/>
    <w:uiPriority w:val="34"/>
    <w:qFormat/>
    <w:rsid w:val="000C4281"/>
    <w:pPr>
      <w:ind w:left="720"/>
      <w:contextualSpacing/>
    </w:pPr>
  </w:style>
  <w:style w:type="character" w:styleId="Hyperlink">
    <w:name w:val="Hyperlink"/>
    <w:basedOn w:val="DefaultParagraphFont"/>
    <w:uiPriority w:val="99"/>
    <w:unhideWhenUsed/>
    <w:rsid w:val="000C4281"/>
    <w:rPr>
      <w:color w:val="0563C1" w:themeColor="hyperlink"/>
      <w:u w:val="single"/>
    </w:rPr>
  </w:style>
  <w:style w:type="character" w:styleId="UnresolvedMention">
    <w:name w:val="Unresolved Mention"/>
    <w:basedOn w:val="DefaultParagraphFont"/>
    <w:uiPriority w:val="99"/>
    <w:semiHidden/>
    <w:unhideWhenUsed/>
    <w:rsid w:val="000C4281"/>
    <w:rPr>
      <w:color w:val="605E5C"/>
      <w:shd w:val="clear" w:color="auto" w:fill="E1DFDD"/>
    </w:rPr>
  </w:style>
  <w:style w:type="character" w:styleId="FollowedHyperlink">
    <w:name w:val="FollowedHyperlink"/>
    <w:basedOn w:val="DefaultParagraphFont"/>
    <w:uiPriority w:val="99"/>
    <w:semiHidden/>
    <w:unhideWhenUsed/>
    <w:rsid w:val="00F95A7E"/>
    <w:rPr>
      <w:color w:val="954F72" w:themeColor="followedHyperlink"/>
      <w:u w:val="single"/>
    </w:rPr>
  </w:style>
  <w:style w:type="paragraph" w:styleId="BalloonText">
    <w:name w:val="Balloon Text"/>
    <w:basedOn w:val="Normal"/>
    <w:link w:val="BalloonTextChar"/>
    <w:uiPriority w:val="99"/>
    <w:semiHidden/>
    <w:unhideWhenUsed/>
    <w:rsid w:val="00E76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5C2"/>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4765">
      <w:bodyDiv w:val="1"/>
      <w:marLeft w:val="0"/>
      <w:marRight w:val="0"/>
      <w:marTop w:val="0"/>
      <w:marBottom w:val="0"/>
      <w:divBdr>
        <w:top w:val="none" w:sz="0" w:space="0" w:color="auto"/>
        <w:left w:val="none" w:sz="0" w:space="0" w:color="auto"/>
        <w:bottom w:val="none" w:sz="0" w:space="0" w:color="auto"/>
        <w:right w:val="none" w:sz="0" w:space="0" w:color="auto"/>
      </w:divBdr>
      <w:divsChild>
        <w:div w:id="1268077570">
          <w:marLeft w:val="0"/>
          <w:marRight w:val="0"/>
          <w:marTop w:val="0"/>
          <w:marBottom w:val="0"/>
          <w:divBdr>
            <w:top w:val="none" w:sz="0" w:space="0" w:color="auto"/>
            <w:left w:val="none" w:sz="0" w:space="0" w:color="auto"/>
            <w:bottom w:val="none" w:sz="0" w:space="0" w:color="auto"/>
            <w:right w:val="none" w:sz="0" w:space="0" w:color="auto"/>
          </w:divBdr>
          <w:divsChild>
            <w:div w:id="997727866">
              <w:marLeft w:val="0"/>
              <w:marRight w:val="0"/>
              <w:marTop w:val="0"/>
              <w:marBottom w:val="0"/>
              <w:divBdr>
                <w:top w:val="none" w:sz="0" w:space="0" w:color="auto"/>
                <w:left w:val="none" w:sz="0" w:space="0" w:color="auto"/>
                <w:bottom w:val="none" w:sz="0" w:space="0" w:color="auto"/>
                <w:right w:val="none" w:sz="0" w:space="0" w:color="auto"/>
              </w:divBdr>
              <w:divsChild>
                <w:div w:id="842010436">
                  <w:marLeft w:val="0"/>
                  <w:marRight w:val="0"/>
                  <w:marTop w:val="0"/>
                  <w:marBottom w:val="0"/>
                  <w:divBdr>
                    <w:top w:val="none" w:sz="0" w:space="0" w:color="auto"/>
                    <w:left w:val="none" w:sz="0" w:space="0" w:color="auto"/>
                    <w:bottom w:val="none" w:sz="0" w:space="0" w:color="auto"/>
                    <w:right w:val="none" w:sz="0" w:space="0" w:color="auto"/>
                  </w:divBdr>
                  <w:divsChild>
                    <w:div w:id="1473450660">
                      <w:marLeft w:val="0"/>
                      <w:marRight w:val="0"/>
                      <w:marTop w:val="0"/>
                      <w:marBottom w:val="0"/>
                      <w:divBdr>
                        <w:top w:val="none" w:sz="0" w:space="0" w:color="auto"/>
                        <w:left w:val="none" w:sz="0" w:space="0" w:color="auto"/>
                        <w:bottom w:val="none" w:sz="0" w:space="0" w:color="auto"/>
                        <w:right w:val="none" w:sz="0" w:space="0" w:color="auto"/>
                      </w:divBdr>
                      <w:divsChild>
                        <w:div w:id="812791137">
                          <w:marLeft w:val="0"/>
                          <w:marRight w:val="0"/>
                          <w:marTop w:val="0"/>
                          <w:marBottom w:val="0"/>
                          <w:divBdr>
                            <w:top w:val="none" w:sz="0" w:space="0" w:color="auto"/>
                            <w:left w:val="none" w:sz="0" w:space="0" w:color="auto"/>
                            <w:bottom w:val="none" w:sz="0" w:space="0" w:color="auto"/>
                            <w:right w:val="none" w:sz="0" w:space="0" w:color="auto"/>
                          </w:divBdr>
                          <w:divsChild>
                            <w:div w:id="895047694">
                              <w:marLeft w:val="0"/>
                              <w:marRight w:val="300"/>
                              <w:marTop w:val="180"/>
                              <w:marBottom w:val="0"/>
                              <w:divBdr>
                                <w:top w:val="none" w:sz="0" w:space="0" w:color="auto"/>
                                <w:left w:val="none" w:sz="0" w:space="0" w:color="auto"/>
                                <w:bottom w:val="none" w:sz="0" w:space="0" w:color="auto"/>
                                <w:right w:val="none" w:sz="0" w:space="0" w:color="auto"/>
                              </w:divBdr>
                              <w:divsChild>
                                <w:div w:id="2073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9933">
          <w:marLeft w:val="0"/>
          <w:marRight w:val="0"/>
          <w:marTop w:val="0"/>
          <w:marBottom w:val="0"/>
          <w:divBdr>
            <w:top w:val="none" w:sz="0" w:space="0" w:color="auto"/>
            <w:left w:val="none" w:sz="0" w:space="0" w:color="auto"/>
            <w:bottom w:val="none" w:sz="0" w:space="0" w:color="auto"/>
            <w:right w:val="none" w:sz="0" w:space="0" w:color="auto"/>
          </w:divBdr>
          <w:divsChild>
            <w:div w:id="2088109333">
              <w:marLeft w:val="0"/>
              <w:marRight w:val="0"/>
              <w:marTop w:val="0"/>
              <w:marBottom w:val="0"/>
              <w:divBdr>
                <w:top w:val="none" w:sz="0" w:space="0" w:color="auto"/>
                <w:left w:val="none" w:sz="0" w:space="0" w:color="auto"/>
                <w:bottom w:val="none" w:sz="0" w:space="0" w:color="auto"/>
                <w:right w:val="none" w:sz="0" w:space="0" w:color="auto"/>
              </w:divBdr>
              <w:divsChild>
                <w:div w:id="1005212427">
                  <w:marLeft w:val="0"/>
                  <w:marRight w:val="0"/>
                  <w:marTop w:val="0"/>
                  <w:marBottom w:val="0"/>
                  <w:divBdr>
                    <w:top w:val="none" w:sz="0" w:space="0" w:color="auto"/>
                    <w:left w:val="none" w:sz="0" w:space="0" w:color="auto"/>
                    <w:bottom w:val="none" w:sz="0" w:space="0" w:color="auto"/>
                    <w:right w:val="none" w:sz="0" w:space="0" w:color="auto"/>
                  </w:divBdr>
                  <w:divsChild>
                    <w:div w:id="1086418293">
                      <w:marLeft w:val="0"/>
                      <w:marRight w:val="0"/>
                      <w:marTop w:val="0"/>
                      <w:marBottom w:val="0"/>
                      <w:divBdr>
                        <w:top w:val="none" w:sz="0" w:space="0" w:color="auto"/>
                        <w:left w:val="none" w:sz="0" w:space="0" w:color="auto"/>
                        <w:bottom w:val="none" w:sz="0" w:space="0" w:color="auto"/>
                        <w:right w:val="none" w:sz="0" w:space="0" w:color="auto"/>
                      </w:divBdr>
                      <w:divsChild>
                        <w:div w:id="16457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60683">
      <w:bodyDiv w:val="1"/>
      <w:marLeft w:val="0"/>
      <w:marRight w:val="0"/>
      <w:marTop w:val="0"/>
      <w:marBottom w:val="0"/>
      <w:divBdr>
        <w:top w:val="none" w:sz="0" w:space="0" w:color="auto"/>
        <w:left w:val="none" w:sz="0" w:space="0" w:color="auto"/>
        <w:bottom w:val="none" w:sz="0" w:space="0" w:color="auto"/>
        <w:right w:val="none" w:sz="0" w:space="0" w:color="auto"/>
      </w:divBdr>
    </w:div>
    <w:div w:id="485629412">
      <w:bodyDiv w:val="1"/>
      <w:marLeft w:val="0"/>
      <w:marRight w:val="0"/>
      <w:marTop w:val="0"/>
      <w:marBottom w:val="0"/>
      <w:divBdr>
        <w:top w:val="none" w:sz="0" w:space="0" w:color="auto"/>
        <w:left w:val="none" w:sz="0" w:space="0" w:color="auto"/>
        <w:bottom w:val="none" w:sz="0" w:space="0" w:color="auto"/>
        <w:right w:val="none" w:sz="0" w:space="0" w:color="auto"/>
      </w:divBdr>
    </w:div>
    <w:div w:id="576746155">
      <w:bodyDiv w:val="1"/>
      <w:marLeft w:val="0"/>
      <w:marRight w:val="0"/>
      <w:marTop w:val="0"/>
      <w:marBottom w:val="0"/>
      <w:divBdr>
        <w:top w:val="none" w:sz="0" w:space="0" w:color="auto"/>
        <w:left w:val="none" w:sz="0" w:space="0" w:color="auto"/>
        <w:bottom w:val="none" w:sz="0" w:space="0" w:color="auto"/>
        <w:right w:val="none" w:sz="0" w:space="0" w:color="auto"/>
      </w:divBdr>
    </w:div>
    <w:div w:id="639002068">
      <w:bodyDiv w:val="1"/>
      <w:marLeft w:val="0"/>
      <w:marRight w:val="0"/>
      <w:marTop w:val="0"/>
      <w:marBottom w:val="0"/>
      <w:divBdr>
        <w:top w:val="none" w:sz="0" w:space="0" w:color="auto"/>
        <w:left w:val="none" w:sz="0" w:space="0" w:color="auto"/>
        <w:bottom w:val="none" w:sz="0" w:space="0" w:color="auto"/>
        <w:right w:val="none" w:sz="0" w:space="0" w:color="auto"/>
      </w:divBdr>
      <w:divsChild>
        <w:div w:id="1512253567">
          <w:marLeft w:val="0"/>
          <w:marRight w:val="0"/>
          <w:marTop w:val="0"/>
          <w:marBottom w:val="0"/>
          <w:divBdr>
            <w:top w:val="none" w:sz="0" w:space="0" w:color="auto"/>
            <w:left w:val="none" w:sz="0" w:space="0" w:color="auto"/>
            <w:bottom w:val="none" w:sz="0" w:space="0" w:color="auto"/>
            <w:right w:val="none" w:sz="0" w:space="0" w:color="auto"/>
          </w:divBdr>
        </w:div>
      </w:divsChild>
    </w:div>
    <w:div w:id="725564931">
      <w:bodyDiv w:val="1"/>
      <w:marLeft w:val="0"/>
      <w:marRight w:val="0"/>
      <w:marTop w:val="0"/>
      <w:marBottom w:val="0"/>
      <w:divBdr>
        <w:top w:val="none" w:sz="0" w:space="0" w:color="auto"/>
        <w:left w:val="none" w:sz="0" w:space="0" w:color="auto"/>
        <w:bottom w:val="none" w:sz="0" w:space="0" w:color="auto"/>
        <w:right w:val="none" w:sz="0" w:space="0" w:color="auto"/>
      </w:divBdr>
    </w:div>
    <w:div w:id="1112364767">
      <w:bodyDiv w:val="1"/>
      <w:marLeft w:val="0"/>
      <w:marRight w:val="0"/>
      <w:marTop w:val="0"/>
      <w:marBottom w:val="0"/>
      <w:divBdr>
        <w:top w:val="none" w:sz="0" w:space="0" w:color="auto"/>
        <w:left w:val="none" w:sz="0" w:space="0" w:color="auto"/>
        <w:bottom w:val="none" w:sz="0" w:space="0" w:color="auto"/>
        <w:right w:val="none" w:sz="0" w:space="0" w:color="auto"/>
      </w:divBdr>
    </w:div>
    <w:div w:id="1274558522">
      <w:bodyDiv w:val="1"/>
      <w:marLeft w:val="0"/>
      <w:marRight w:val="0"/>
      <w:marTop w:val="0"/>
      <w:marBottom w:val="0"/>
      <w:divBdr>
        <w:top w:val="none" w:sz="0" w:space="0" w:color="auto"/>
        <w:left w:val="none" w:sz="0" w:space="0" w:color="auto"/>
        <w:bottom w:val="none" w:sz="0" w:space="0" w:color="auto"/>
        <w:right w:val="none" w:sz="0" w:space="0" w:color="auto"/>
      </w:divBdr>
    </w:div>
    <w:div w:id="1296838465">
      <w:bodyDiv w:val="1"/>
      <w:marLeft w:val="0"/>
      <w:marRight w:val="0"/>
      <w:marTop w:val="0"/>
      <w:marBottom w:val="0"/>
      <w:divBdr>
        <w:top w:val="none" w:sz="0" w:space="0" w:color="auto"/>
        <w:left w:val="none" w:sz="0" w:space="0" w:color="auto"/>
        <w:bottom w:val="none" w:sz="0" w:space="0" w:color="auto"/>
        <w:right w:val="none" w:sz="0" w:space="0" w:color="auto"/>
      </w:divBdr>
    </w:div>
    <w:div w:id="1642272365">
      <w:bodyDiv w:val="1"/>
      <w:marLeft w:val="0"/>
      <w:marRight w:val="0"/>
      <w:marTop w:val="0"/>
      <w:marBottom w:val="0"/>
      <w:divBdr>
        <w:top w:val="none" w:sz="0" w:space="0" w:color="auto"/>
        <w:left w:val="none" w:sz="0" w:space="0" w:color="auto"/>
        <w:bottom w:val="none" w:sz="0" w:space="0" w:color="auto"/>
        <w:right w:val="none" w:sz="0" w:space="0" w:color="auto"/>
      </w:divBdr>
    </w:div>
    <w:div w:id="17702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code.com/online/udc/00/004.65.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consilium.europa.eu/doc/document/ST-9565-2015-INIT/en/pdf" TargetMode="External"/><Relationship Id="rId4" Type="http://schemas.openxmlformats.org/officeDocument/2006/relationships/settings" Target="settings.xml"/><Relationship Id="rId9" Type="http://schemas.openxmlformats.org/officeDocument/2006/relationships/hyperlink" Target="http://csrc.nist.gov/publications/nistpubs/800-145/SP800-1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87DF-FF1A-42DF-A91D-307BFA10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Tatianchuk</dc:creator>
  <cp:keywords/>
  <dc:description/>
  <cp:lastModifiedBy>Volodymyr Tatianchuk</cp:lastModifiedBy>
  <cp:revision>2</cp:revision>
  <cp:lastPrinted>2019-09-17T08:14:00Z</cp:lastPrinted>
  <dcterms:created xsi:type="dcterms:W3CDTF">2019-09-17T08:45:00Z</dcterms:created>
  <dcterms:modified xsi:type="dcterms:W3CDTF">2019-09-17T08:45:00Z</dcterms:modified>
</cp:coreProperties>
</file>