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831D" w14:textId="77777777" w:rsidR="002E686E" w:rsidRPr="00271598" w:rsidRDefault="002E686E" w:rsidP="00F153A0">
      <w:pPr>
        <w:spacing w:line="264" w:lineRule="auto"/>
        <w:ind w:firstLine="567"/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 w:rsidRPr="00271598">
        <w:rPr>
          <w:rFonts w:ascii="Times New Roman" w:hAnsi="Times New Roman"/>
          <w:b/>
          <w:lang w:val="ru-RU"/>
        </w:rPr>
        <w:t>УДК 681.3, 004.62</w:t>
      </w:r>
    </w:p>
    <w:p w14:paraId="0339ACD4" w14:textId="6DB764D9" w:rsidR="00E327FD" w:rsidRPr="00E327FD" w:rsidRDefault="002E686E" w:rsidP="00F153A0">
      <w:pPr>
        <w:spacing w:line="264" w:lineRule="auto"/>
        <w:ind w:firstLine="567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Чернега В. В., Наконечний Р. </w:t>
      </w:r>
      <w:r w:rsidR="00267054">
        <w:rPr>
          <w:rFonts w:ascii="Times New Roman" w:hAnsi="Times New Roman"/>
          <w:b/>
          <w:lang w:val="uk-UA"/>
        </w:rPr>
        <w:t>А.</w:t>
      </w:r>
    </w:p>
    <w:p w14:paraId="13EE1846" w14:textId="3B83FB7F" w:rsidR="002E686E" w:rsidRPr="00271598" w:rsidRDefault="002E686E" w:rsidP="00F153A0">
      <w:pPr>
        <w:spacing w:line="264" w:lineRule="auto"/>
        <w:ind w:firstLine="567"/>
        <w:jc w:val="right"/>
        <w:rPr>
          <w:rFonts w:ascii="Times New Roman" w:hAnsi="Times New Roman"/>
          <w:lang w:val="ru-RU"/>
        </w:rPr>
      </w:pPr>
      <w:r w:rsidRPr="00271598">
        <w:rPr>
          <w:rFonts w:ascii="Times New Roman" w:hAnsi="Times New Roman"/>
          <w:lang w:val="ru-RU"/>
        </w:rPr>
        <w:t>Національний університет "Львівська політехніка"</w:t>
      </w:r>
    </w:p>
    <w:p w14:paraId="3025EC47" w14:textId="77777777" w:rsidR="002E686E" w:rsidRPr="00271598" w:rsidRDefault="002E686E" w:rsidP="00F153A0">
      <w:pPr>
        <w:spacing w:line="264" w:lineRule="auto"/>
        <w:ind w:firstLine="567"/>
        <w:jc w:val="right"/>
        <w:rPr>
          <w:rFonts w:ascii="Times New Roman" w:hAnsi="Times New Roman"/>
          <w:lang w:val="ru-RU"/>
        </w:rPr>
      </w:pPr>
      <w:r w:rsidRPr="00271598">
        <w:rPr>
          <w:rFonts w:ascii="Times New Roman" w:hAnsi="Times New Roman"/>
          <w:lang w:val="ru-RU"/>
        </w:rPr>
        <w:t>кафедра електронних обчислювальних машин</w:t>
      </w:r>
    </w:p>
    <w:p w14:paraId="39E63822" w14:textId="77777777" w:rsidR="002E686E" w:rsidRPr="00271598" w:rsidRDefault="002E686E" w:rsidP="00F153A0">
      <w:pPr>
        <w:spacing w:line="264" w:lineRule="auto"/>
        <w:ind w:firstLine="567"/>
        <w:jc w:val="right"/>
        <w:rPr>
          <w:rFonts w:ascii="Times New Roman" w:hAnsi="Times New Roman"/>
          <w:lang w:val="ru-RU"/>
        </w:rPr>
      </w:pPr>
    </w:p>
    <w:p w14:paraId="5004501C" w14:textId="479BB2A9" w:rsidR="002E686E" w:rsidRPr="002E686E" w:rsidRDefault="002E686E" w:rsidP="00F153A0">
      <w:pPr>
        <w:spacing w:line="264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Аналіз методів та засобів частотно-часових перетворень сигналів</w:t>
      </w:r>
    </w:p>
    <w:p w14:paraId="50822141" w14:textId="77777777" w:rsidR="002E686E" w:rsidRPr="00271598" w:rsidRDefault="002E686E" w:rsidP="00F153A0">
      <w:pPr>
        <w:spacing w:line="264" w:lineRule="auto"/>
        <w:ind w:firstLine="567"/>
        <w:jc w:val="both"/>
        <w:rPr>
          <w:rFonts w:ascii="Times New Roman" w:hAnsi="Times New Roman"/>
          <w:b/>
          <w:i/>
          <w:lang w:val="ru-RU"/>
        </w:rPr>
      </w:pPr>
    </w:p>
    <w:p w14:paraId="3728B694" w14:textId="3B21DFDA" w:rsidR="002E686E" w:rsidRPr="00271598" w:rsidRDefault="002E686E" w:rsidP="00F153A0">
      <w:pPr>
        <w:spacing w:line="264" w:lineRule="auto"/>
        <w:ind w:firstLine="567"/>
        <w:jc w:val="both"/>
        <w:rPr>
          <w:rFonts w:ascii="Times New Roman" w:hAnsi="Times New Roman"/>
          <w:i/>
          <w:lang w:val="ru-RU"/>
        </w:rPr>
      </w:pPr>
      <w:r w:rsidRPr="00AA065E">
        <w:rPr>
          <w:rFonts w:ascii="Times New Roman" w:hAnsi="Times New Roman"/>
          <w:i/>
          <w:lang w:val="ru-RU"/>
        </w:rPr>
        <w:t xml:space="preserve">© </w:t>
      </w:r>
      <w:r>
        <w:rPr>
          <w:rFonts w:ascii="Times New Roman" w:hAnsi="Times New Roman"/>
          <w:i/>
          <w:lang w:val="uk-UA"/>
        </w:rPr>
        <w:t>Чернега В.В</w:t>
      </w:r>
      <w:r w:rsidRPr="00271598">
        <w:rPr>
          <w:rFonts w:ascii="Times New Roman" w:hAnsi="Times New Roman"/>
          <w:i/>
          <w:lang w:val="ru-RU"/>
        </w:rPr>
        <w:t xml:space="preserve">., </w:t>
      </w:r>
      <w:r>
        <w:rPr>
          <w:rFonts w:ascii="Times New Roman" w:hAnsi="Times New Roman"/>
          <w:i/>
          <w:lang w:val="uk-UA"/>
        </w:rPr>
        <w:t>Наконечний Р</w:t>
      </w:r>
      <w:r w:rsidRPr="00271598">
        <w:rPr>
          <w:rFonts w:ascii="Times New Roman" w:hAnsi="Times New Roman"/>
          <w:i/>
          <w:lang w:val="ru-RU"/>
        </w:rPr>
        <w:t>.</w:t>
      </w:r>
      <w:r>
        <w:rPr>
          <w:rFonts w:ascii="Times New Roman" w:hAnsi="Times New Roman"/>
          <w:i/>
          <w:lang w:val="uk-UA"/>
        </w:rPr>
        <w:t xml:space="preserve"> А.</w:t>
      </w:r>
      <w:r w:rsidRPr="00AA065E">
        <w:rPr>
          <w:rFonts w:ascii="Times New Roman" w:hAnsi="Times New Roman"/>
          <w:i/>
          <w:lang w:val="ru-RU"/>
        </w:rPr>
        <w:t xml:space="preserve">, </w:t>
      </w:r>
      <w:r w:rsidRPr="00271598">
        <w:rPr>
          <w:rFonts w:ascii="Times New Roman" w:hAnsi="Times New Roman"/>
          <w:i/>
          <w:lang w:val="ru-RU"/>
        </w:rPr>
        <w:t>2020</w:t>
      </w:r>
    </w:p>
    <w:p w14:paraId="2FF10DDB" w14:textId="77777777" w:rsidR="002E686E" w:rsidRPr="00337333" w:rsidRDefault="002E686E" w:rsidP="00F153A0">
      <w:pPr>
        <w:spacing w:line="264" w:lineRule="auto"/>
        <w:ind w:firstLine="567"/>
        <w:jc w:val="both"/>
        <w:rPr>
          <w:rFonts w:ascii="Times New Roman" w:hAnsi="Times New Roman"/>
          <w:i/>
          <w:lang w:val="ru-RU"/>
        </w:rPr>
      </w:pPr>
    </w:p>
    <w:p w14:paraId="0B62633D" w14:textId="43848911" w:rsidR="002E686E" w:rsidRPr="00DD72AA" w:rsidRDefault="002705D7" w:rsidP="00F153A0">
      <w:pPr>
        <w:spacing w:line="264" w:lineRule="auto"/>
        <w:ind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ru-RU"/>
        </w:rPr>
        <w:t xml:space="preserve">Метою </w:t>
      </w:r>
      <w:r w:rsidR="00A76FF0" w:rsidRPr="00A76FF0">
        <w:rPr>
          <w:rFonts w:ascii="Times New Roman" w:hAnsi="Times New Roman"/>
          <w:b/>
          <w:lang w:val="ru-RU"/>
        </w:rPr>
        <w:t xml:space="preserve">даної роботи є </w:t>
      </w:r>
      <w:r w:rsidR="00603426">
        <w:rPr>
          <w:rFonts w:ascii="Times New Roman" w:hAnsi="Times New Roman"/>
          <w:b/>
          <w:lang w:val="uk-UA"/>
        </w:rPr>
        <w:t>аналіз</w:t>
      </w:r>
      <w:r w:rsidR="00A76FF0" w:rsidRPr="00A76FF0">
        <w:rPr>
          <w:rFonts w:ascii="Times New Roman" w:hAnsi="Times New Roman"/>
          <w:b/>
          <w:lang w:val="ru-RU"/>
        </w:rPr>
        <w:t xml:space="preserve"> основних методів</w:t>
      </w:r>
      <w:r w:rsidR="00603426">
        <w:rPr>
          <w:rFonts w:ascii="Times New Roman" w:hAnsi="Times New Roman"/>
          <w:b/>
          <w:lang w:val="ru-RU"/>
        </w:rPr>
        <w:t xml:space="preserve"> та засобів частотно-часових перетворень сигналів</w:t>
      </w:r>
      <w:r w:rsidR="00A76FF0" w:rsidRPr="00A76FF0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>В статті приведено основні методи аналізу сигналів.</w:t>
      </w:r>
    </w:p>
    <w:p w14:paraId="118488D4" w14:textId="77777777" w:rsidR="00603426" w:rsidRPr="00337333" w:rsidRDefault="00603426" w:rsidP="00F153A0">
      <w:pPr>
        <w:spacing w:line="264" w:lineRule="auto"/>
        <w:ind w:firstLine="567"/>
        <w:jc w:val="both"/>
        <w:rPr>
          <w:rFonts w:ascii="Times New Roman" w:hAnsi="Times New Roman"/>
          <w:b/>
          <w:lang w:val="ru-RU"/>
        </w:rPr>
      </w:pPr>
    </w:p>
    <w:p w14:paraId="5885BF59" w14:textId="1F8D235A" w:rsidR="002E686E" w:rsidRPr="00271598" w:rsidRDefault="002E686E" w:rsidP="007D546A">
      <w:pPr>
        <w:ind w:firstLine="567"/>
        <w:rPr>
          <w:rFonts w:ascii="Times New Roman" w:eastAsia="Times New Roman" w:hAnsi="Times New Roman" w:cs="Times New Roman"/>
          <w:b/>
          <w:sz w:val="22"/>
          <w:szCs w:val="22"/>
          <w:lang w:val="ru-RU" w:eastAsia="en-GB"/>
        </w:rPr>
      </w:pPr>
      <w:r w:rsidRPr="00271598">
        <w:rPr>
          <w:rFonts w:ascii="Times New Roman" w:hAnsi="Times New Roman"/>
          <w:b/>
          <w:lang w:val="ru-RU"/>
        </w:rPr>
        <w:t xml:space="preserve">Ключові слова: </w:t>
      </w:r>
      <w:r w:rsidR="007D546A" w:rsidRPr="00271598">
        <w:rPr>
          <w:rFonts w:ascii="Times New Roman" w:eastAsia="Times New Roman" w:hAnsi="Times New Roman" w:cs="Times New Roman"/>
          <w:b/>
          <w:lang w:val="ru-RU" w:eastAsia="en-GB"/>
        </w:rPr>
        <w:t>частотно-часовий аналіз</w:t>
      </w:r>
      <w:r w:rsidRPr="00271598">
        <w:rPr>
          <w:rFonts w:ascii="Times New Roman" w:hAnsi="Times New Roman"/>
          <w:b/>
          <w:lang w:val="ru-RU"/>
        </w:rPr>
        <w:t xml:space="preserve">, </w:t>
      </w:r>
      <w:r w:rsidR="007D546A" w:rsidRPr="002705D7">
        <w:rPr>
          <w:rFonts w:ascii="Times New Roman" w:eastAsia="Times New Roman" w:hAnsi="Times New Roman" w:cs="Times New Roman"/>
          <w:b/>
          <w:sz w:val="22"/>
          <w:szCs w:val="22"/>
          <w:lang w:val="uk-UA" w:eastAsia="en-GB"/>
        </w:rPr>
        <w:t>п</w:t>
      </w:r>
      <w:r w:rsidR="007D546A" w:rsidRPr="00271598">
        <w:rPr>
          <w:rFonts w:ascii="Times New Roman" w:eastAsia="Times New Roman" w:hAnsi="Times New Roman" w:cs="Times New Roman"/>
          <w:b/>
          <w:sz w:val="22"/>
          <w:szCs w:val="22"/>
          <w:lang w:val="ru-RU" w:eastAsia="en-GB"/>
        </w:rPr>
        <w:t xml:space="preserve">еретворення Фур’є, </w:t>
      </w:r>
      <w:r w:rsidR="00DD72AA" w:rsidRPr="002705D7">
        <w:rPr>
          <w:rFonts w:ascii="Times New Roman" w:eastAsia="Times New Roman" w:hAnsi="Times New Roman" w:cs="Times New Roman"/>
          <w:b/>
          <w:sz w:val="22"/>
          <w:szCs w:val="22"/>
          <w:lang w:val="uk-UA" w:eastAsia="en-GB"/>
        </w:rPr>
        <w:t>в</w:t>
      </w:r>
      <w:r w:rsidR="007D546A" w:rsidRPr="00271598">
        <w:rPr>
          <w:rFonts w:ascii="Times New Roman" w:eastAsia="Times New Roman" w:hAnsi="Times New Roman" w:cs="Times New Roman"/>
          <w:b/>
          <w:sz w:val="22"/>
          <w:szCs w:val="22"/>
          <w:lang w:val="ru-RU" w:eastAsia="en-GB"/>
        </w:rPr>
        <w:t>ейвлет-перетворення</w:t>
      </w:r>
    </w:p>
    <w:p w14:paraId="04920273" w14:textId="77777777" w:rsidR="002705D7" w:rsidRPr="00271598" w:rsidRDefault="002705D7" w:rsidP="007D546A">
      <w:pPr>
        <w:ind w:firstLine="567"/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</w:pPr>
    </w:p>
    <w:p w14:paraId="4DFD362F" w14:textId="77777777" w:rsidR="002705D7" w:rsidRPr="002705D7" w:rsidRDefault="002705D7" w:rsidP="002705D7">
      <w:pPr>
        <w:ind w:firstLine="567"/>
        <w:rPr>
          <w:rFonts w:ascii="Times New Roman" w:eastAsia="Times New Roman" w:hAnsi="Times New Roman" w:cs="Times New Roman"/>
          <w:b/>
          <w:bCs/>
          <w:lang w:eastAsia="en-GB"/>
        </w:rPr>
      </w:pPr>
      <w:r w:rsidRPr="002705D7">
        <w:rPr>
          <w:rFonts w:ascii="Times New Roman" w:eastAsia="Times New Roman" w:hAnsi="Times New Roman" w:cs="Times New Roman"/>
          <w:b/>
          <w:bCs/>
          <w:lang w:eastAsia="en-GB"/>
        </w:rPr>
        <w:t>Analysis of methods and means of frequency-time transformations of signals</w:t>
      </w:r>
    </w:p>
    <w:p w14:paraId="28B14855" w14:textId="77777777" w:rsidR="002705D7" w:rsidRPr="002705D7" w:rsidRDefault="002705D7" w:rsidP="002705D7">
      <w:pPr>
        <w:ind w:firstLine="567"/>
        <w:rPr>
          <w:rFonts w:ascii="Times New Roman" w:eastAsia="Times New Roman" w:hAnsi="Times New Roman" w:cs="Times New Roman"/>
          <w:lang w:eastAsia="en-GB"/>
        </w:rPr>
      </w:pPr>
    </w:p>
    <w:p w14:paraId="3430B820" w14:textId="77777777" w:rsidR="002705D7" w:rsidRPr="002705D7" w:rsidRDefault="002705D7" w:rsidP="002705D7">
      <w:pPr>
        <w:ind w:firstLine="567"/>
        <w:rPr>
          <w:rFonts w:ascii="Times New Roman" w:eastAsia="Times New Roman" w:hAnsi="Times New Roman" w:cs="Times New Roman"/>
          <w:b/>
          <w:bCs/>
          <w:lang w:eastAsia="en-GB"/>
        </w:rPr>
      </w:pPr>
      <w:r w:rsidRPr="002705D7">
        <w:rPr>
          <w:rFonts w:ascii="Times New Roman" w:eastAsia="Times New Roman" w:hAnsi="Times New Roman" w:cs="Times New Roman"/>
          <w:b/>
          <w:bCs/>
          <w:lang w:eastAsia="en-GB"/>
        </w:rPr>
        <w:t>The purpose of this work is to analyze the basic methods and means of frequency-time transformations of signals. The main methods of signal analysis are given in the article.</w:t>
      </w:r>
    </w:p>
    <w:p w14:paraId="4C1475E5" w14:textId="77777777" w:rsidR="002705D7" w:rsidRPr="002705D7" w:rsidRDefault="002705D7" w:rsidP="002705D7">
      <w:pPr>
        <w:ind w:firstLine="567"/>
        <w:rPr>
          <w:rFonts w:ascii="Times New Roman" w:eastAsia="Times New Roman" w:hAnsi="Times New Roman" w:cs="Times New Roman"/>
          <w:lang w:eastAsia="en-GB"/>
        </w:rPr>
      </w:pPr>
    </w:p>
    <w:p w14:paraId="5397B17B" w14:textId="47FBBCF7" w:rsidR="002705D7" w:rsidRPr="002705D7" w:rsidRDefault="002705D7" w:rsidP="002705D7">
      <w:pPr>
        <w:ind w:firstLine="567"/>
        <w:rPr>
          <w:rFonts w:ascii="Times New Roman" w:eastAsia="Times New Roman" w:hAnsi="Times New Roman" w:cs="Times New Roman"/>
          <w:b/>
          <w:bCs/>
          <w:lang w:eastAsia="en-GB"/>
        </w:rPr>
      </w:pPr>
      <w:r w:rsidRPr="002705D7">
        <w:rPr>
          <w:rFonts w:ascii="Times New Roman" w:eastAsia="Times New Roman" w:hAnsi="Times New Roman" w:cs="Times New Roman"/>
          <w:b/>
          <w:bCs/>
          <w:lang w:eastAsia="en-GB"/>
        </w:rPr>
        <w:t>Keywords: frequency-time analysis, Fourier transform, wavelet transform</w:t>
      </w:r>
    </w:p>
    <w:p w14:paraId="2AA8CB63" w14:textId="00B805CA" w:rsidR="0095099F" w:rsidRDefault="0095099F" w:rsidP="005D0B46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032B86A3" w14:textId="57C38E77" w:rsidR="0080202F" w:rsidRPr="00271598" w:rsidRDefault="0080202F" w:rsidP="0080202F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80202F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en-GB"/>
        </w:rPr>
        <w:t>Вступ</w:t>
      </w:r>
      <w:r w:rsidRPr="0080202F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t>. Матеріальним носієм інформації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80202F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t>щодо стану об’єктів є сигнали, класифікація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80202F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t>яких досить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80202F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t xml:space="preserve">повно розглянута в роботі [1].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Як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правило, на сьогодні, на підставі теореми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відліків [2, 3] сигнали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представляються в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дискретному вигляді. У цьому випадку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впорядкована послідовність результатів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вимірювань сигналу, зафіксованих в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послідовні моменти часу, прийнято називати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часовим рядом.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Можна виділити три основні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завдання, які вирішуються під час аналізу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часових рядів [4]:</w:t>
      </w:r>
    </w:p>
    <w:p w14:paraId="24A418BF" w14:textId="2D96542C" w:rsidR="0080202F" w:rsidRPr="00271598" w:rsidRDefault="0080202F" w:rsidP="0080202F">
      <w:pPr>
        <w:pStyle w:val="a9"/>
        <w:numPr>
          <w:ilvl w:val="0"/>
          <w:numId w:val="4"/>
        </w:num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Визначення кількісних характеристик</w:t>
      </w:r>
      <w:r w:rsidRPr="0080202F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процесу, який породив цей часовий ряд, в</w:t>
      </w:r>
      <w:r w:rsidRPr="0080202F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тому числі</w:t>
      </w:r>
      <w:r w:rsidRPr="0080202F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частотно-часових характеристик</w:t>
      </w:r>
      <w:r w:rsidRPr="0080202F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сигналу, його енергії та інші;</w:t>
      </w:r>
    </w:p>
    <w:p w14:paraId="62F12BD4" w14:textId="12C776C0" w:rsidR="0080202F" w:rsidRPr="00271598" w:rsidRDefault="0080202F" w:rsidP="0080202F">
      <w:pPr>
        <w:pStyle w:val="a9"/>
        <w:numPr>
          <w:ilvl w:val="0"/>
          <w:numId w:val="4"/>
        </w:num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Декомпозиція часового ряду на</w:t>
      </w:r>
      <w:r w:rsidRPr="0080202F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елементарні складові для подальшого</w:t>
      </w:r>
      <w:r w:rsidRPr="0080202F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вивчення їх кількісних характеристик;</w:t>
      </w:r>
    </w:p>
    <w:p w14:paraId="2EC2B6FB" w14:textId="5D7A335E" w:rsidR="0080202F" w:rsidRPr="00271598" w:rsidRDefault="0080202F" w:rsidP="0080202F">
      <w:pPr>
        <w:pStyle w:val="a9"/>
        <w:numPr>
          <w:ilvl w:val="0"/>
          <w:numId w:val="4"/>
        </w:num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Кількісне порівняння часових рядів</w:t>
      </w:r>
      <w:r w:rsidRPr="0080202F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для виявлення подібностей і відмінностей між</w:t>
      </w:r>
      <w:r w:rsidRPr="0080202F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процесами, якими вони породжені.</w:t>
      </w:r>
    </w:p>
    <w:p w14:paraId="3411860D" w14:textId="77777777" w:rsidR="0080202F" w:rsidRPr="00271598" w:rsidRDefault="0080202F" w:rsidP="0080202F">
      <w:pPr>
        <w:pStyle w:val="a9"/>
        <w:spacing w:line="264" w:lineRule="auto"/>
        <w:ind w:left="92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</w:p>
    <w:p w14:paraId="54209BEF" w14:textId="2EC4F4E4" w:rsidR="005D0B46" w:rsidRPr="00271598" w:rsidRDefault="005D0B46" w:rsidP="005D0B46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  <w:t xml:space="preserve">Аналіз існуючих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  <w:t>методів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. Перехід до спектру може здійснюватися з використанням ортогональних і унітарних перетворень. Найбільш часто для отримання спектру використовується розкладання по ортогональних функціях [7]. Наприклад, спектри, отримані на основі розкладання в ряд Фур’є (у разі гармонійного базису), ряд Уолша (у разі використання негармонійної ортогональної системи прямокутних функцій зі значеннями ±1), вейвлет-перетворення тощо. У всякому разі розкладання вихідної неперервної функції </w:t>
      </w:r>
      <m:oMath>
        <m:r>
          <w:rPr>
            <w:rFonts w:ascii="Cambria Math" w:eastAsia="Times New Roman" w:hAnsi="Cambria Math" w:cs="Times New Roman"/>
            <w:sz w:val="22"/>
            <w:szCs w:val="22"/>
            <w:lang w:eastAsia="en-GB"/>
          </w:rPr>
          <m:t>φ</m:t>
        </m:r>
        <m:d>
          <m:dPr>
            <m:ctrlPr>
              <w:rPr>
                <w:rFonts w:ascii="Cambria Math" w:eastAsia="Times New Roman" w:hAnsi="Cambria Math" w:cs="Times New Roman"/>
                <w:i/>
                <w:sz w:val="22"/>
                <w:szCs w:val="22"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t</m:t>
            </m:r>
          </m:e>
        </m:d>
      </m:oMath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на ортогональні функції може бути представлено у вигляді: </w:t>
      </w:r>
    </w:p>
    <w:p w14:paraId="020AFCAA" w14:textId="77777777" w:rsidR="005D0B46" w:rsidRDefault="005D0B46" w:rsidP="005D0B46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m:oMathPara>
        <m:oMath>
          <m:r>
            <w:rPr>
              <w:rFonts w:ascii="Cambria Math" w:eastAsia="Times New Roman" w:hAnsi="Cambria Math" w:cs="Times New Roman"/>
              <w:sz w:val="22"/>
              <w:szCs w:val="22"/>
              <w:lang w:eastAsia="en-GB"/>
            </w:rPr>
            <m:t>φ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2"/>
                  <w:szCs w:val="22"/>
                  <w:lang w:eastAsia="en-GB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2"/>
              <w:szCs w:val="22"/>
              <w:lang w:eastAsia="en-GB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2"/>
                  <w:szCs w:val="22"/>
                  <w:lang w:eastAsia="en-GB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k=0</m:t>
              </m:r>
            </m:sub>
            <m:sup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lang w:eastAsia="en-GB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lang w:eastAsia="en-GB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Φ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lang w:eastAsia="en-GB"/>
                    </w:rPr>
                    <m:t>k,t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 xml:space="preserve">,  </m:t>
              </m:r>
            </m:e>
          </m:nary>
        </m:oMath>
      </m:oMathPara>
    </w:p>
    <w:p w14:paraId="7A8BBB41" w14:textId="77777777" w:rsidR="005D0B46" w:rsidRPr="00271598" w:rsidRDefault="005D0B46" w:rsidP="005D0B46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де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2"/>
                <w:szCs w:val="22"/>
                <w:lang w:eastAsia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k</m:t>
            </m:r>
          </m:sub>
        </m:sSub>
        <m:r>
          <w:rPr>
            <w:rFonts w:ascii="Cambria Math" w:eastAsia="Times New Roman" w:hAnsi="Cambria Math" w:cs="Times New Roman"/>
            <w:sz w:val="22"/>
            <w:szCs w:val="22"/>
            <w:lang w:val="ru-RU" w:eastAsia="en-GB"/>
          </w:rPr>
          <m:t>=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2"/>
                <w:szCs w:val="22"/>
                <w:lang w:eastAsia="en-GB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2"/>
                <w:szCs w:val="22"/>
                <w:lang w:val="ru-RU" w:eastAsia="en-GB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T</m:t>
            </m:r>
          </m:sup>
          <m:e>
            <m:r>
              <w:rPr>
                <w:rFonts w:ascii="Cambria Math" w:eastAsia="Times New Roman" w:hAnsi="Cambria Math" w:cs="Times New Roman"/>
                <w:sz w:val="22"/>
                <w:szCs w:val="22"/>
                <w:lang w:val="ru-RU" w:eastAsia="en-GB"/>
              </w:rPr>
              <m:t>[</m:t>
            </m:r>
            <m: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φ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2"/>
                    <w:szCs w:val="22"/>
                    <w:lang w:eastAsia="en-GB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2"/>
                    <w:szCs w:val="22"/>
                    <w:lang w:eastAsia="en-GB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sz w:val="22"/>
                <w:szCs w:val="22"/>
                <w:lang w:val="ru-RU" w:eastAsia="en-GB"/>
              </w:rPr>
              <m:t>*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Φ</m:t>
            </m:r>
            <m:r>
              <w:rPr>
                <w:rFonts w:ascii="Cambria Math" w:eastAsia="Times New Roman" w:hAnsi="Cambria Math" w:cs="Times New Roman"/>
                <w:sz w:val="22"/>
                <w:szCs w:val="22"/>
                <w:lang w:val="ru-RU" w:eastAsia="en-GB"/>
              </w:rPr>
              <m:t>(</m:t>
            </m:r>
            <m: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k</m:t>
            </m:r>
            <m:r>
              <w:rPr>
                <w:rFonts w:ascii="Cambria Math" w:eastAsia="Times New Roman" w:hAnsi="Cambria Math" w:cs="Times New Roman"/>
                <w:sz w:val="22"/>
                <w:szCs w:val="22"/>
                <w:lang w:val="ru-RU" w:eastAsia="en-GB"/>
              </w:rPr>
              <m:t>,</m:t>
            </m:r>
            <m: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t</m:t>
            </m:r>
            <m:r>
              <w:rPr>
                <w:rFonts w:ascii="Cambria Math" w:eastAsia="Times New Roman" w:hAnsi="Cambria Math" w:cs="Times New Roman"/>
                <w:sz w:val="22"/>
                <w:szCs w:val="22"/>
                <w:lang w:val="ru-RU" w:eastAsia="en-GB"/>
              </w:rPr>
              <m:t>)]</m:t>
            </m:r>
            <m: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dt</m:t>
            </m:r>
          </m:e>
        </m:nary>
      </m:oMath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– коефіцієнти розкладання,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2"/>
            <w:szCs w:val="22"/>
            <w:lang w:eastAsia="en-GB"/>
          </w:rPr>
          <m:t>Φ</m:t>
        </m:r>
        <m:r>
          <w:rPr>
            <w:rFonts w:ascii="Cambria Math" w:eastAsia="Times New Roman" w:hAnsi="Cambria Math" w:cs="Times New Roman"/>
            <w:sz w:val="22"/>
            <w:szCs w:val="22"/>
            <w:lang w:val="ru-RU" w:eastAsia="en-GB"/>
          </w:rPr>
          <m:t>(</m:t>
        </m:r>
        <m:r>
          <w:rPr>
            <w:rFonts w:ascii="Cambria Math" w:eastAsia="Times New Roman" w:hAnsi="Cambria Math" w:cs="Times New Roman"/>
            <w:sz w:val="22"/>
            <w:szCs w:val="22"/>
            <w:lang w:eastAsia="en-GB"/>
          </w:rPr>
          <m:t>k</m:t>
        </m:r>
        <m:r>
          <w:rPr>
            <w:rFonts w:ascii="Cambria Math" w:eastAsia="Times New Roman" w:hAnsi="Cambria Math" w:cs="Times New Roman"/>
            <w:sz w:val="22"/>
            <w:szCs w:val="22"/>
            <w:lang w:val="ru-RU" w:eastAsia="en-GB"/>
          </w:rPr>
          <m:t>,</m:t>
        </m:r>
        <m:r>
          <w:rPr>
            <w:rFonts w:ascii="Cambria Math" w:eastAsia="Times New Roman" w:hAnsi="Cambria Math" w:cs="Times New Roman"/>
            <w:sz w:val="22"/>
            <w:szCs w:val="22"/>
            <w:lang w:eastAsia="en-GB"/>
          </w:rPr>
          <m:t>t</m:t>
        </m:r>
        <m:r>
          <w:rPr>
            <w:rFonts w:ascii="Cambria Math" w:eastAsia="Times New Roman" w:hAnsi="Cambria Math" w:cs="Times New Roman"/>
            <w:sz w:val="22"/>
            <w:szCs w:val="22"/>
            <w:lang w:val="ru-RU" w:eastAsia="en-GB"/>
          </w:rPr>
          <m:t>)</m:t>
        </m:r>
      </m:oMath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– система базисних ортогональних функцій. До того ж неперервної функції </w:t>
      </w:r>
      <m:oMath>
        <m:r>
          <w:rPr>
            <w:rFonts w:ascii="Cambria Math" w:eastAsia="Times New Roman" w:hAnsi="Cambria Math" w:cs="Times New Roman"/>
            <w:sz w:val="22"/>
            <w:szCs w:val="22"/>
            <w:lang w:eastAsia="en-GB"/>
          </w:rPr>
          <m:t>φ</m:t>
        </m:r>
        <m:d>
          <m:dPr>
            <m:ctrlPr>
              <w:rPr>
                <w:rFonts w:ascii="Cambria Math" w:eastAsia="Times New Roman" w:hAnsi="Cambria Math" w:cs="Times New Roman"/>
                <w:i/>
                <w:sz w:val="22"/>
                <w:szCs w:val="22"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t</m:t>
            </m:r>
          </m:e>
        </m:d>
      </m:oMath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відповідатиме дискретний (лінійчатий) спектр з коефіцієнтами. У дискретному випадку функція відліків має вигляд: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2"/>
            <w:szCs w:val="22"/>
            <w:lang w:val="ru-RU" w:eastAsia="en-GB"/>
          </w:rPr>
          <w:br/>
        </m:r>
      </m:oMath>
      <m:oMathPara>
        <m:oMath>
          <m:r>
            <w:rPr>
              <w:rFonts w:ascii="Cambria Math" w:eastAsia="Times New Roman" w:hAnsi="Cambria Math" w:cs="Times New Roman"/>
              <w:sz w:val="22"/>
              <w:szCs w:val="22"/>
              <w:lang w:eastAsia="en-GB"/>
            </w:rPr>
            <w:lastRenderedPageBreak/>
            <m:t>φ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2"/>
                  <w:szCs w:val="22"/>
                  <w:lang w:eastAsia="en-GB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2"/>
              <w:szCs w:val="22"/>
              <w:lang w:val="ru-RU" w:eastAsia="en-GB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2"/>
                  <w:szCs w:val="22"/>
                  <w:lang w:eastAsia="en-GB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k</m:t>
              </m:r>
              <m:r>
                <w:rPr>
                  <w:rFonts w:ascii="Cambria Math" w:eastAsia="Times New Roman" w:hAnsi="Cambria Math" w:cs="Times New Roman"/>
                  <w:sz w:val="22"/>
                  <w:szCs w:val="22"/>
                  <w:lang w:val="ru-RU" w:eastAsia="en-GB"/>
                </w:rPr>
                <m:t>=0</m:t>
              </m:r>
            </m:sub>
            <m:sup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N</m:t>
              </m:r>
              <m:r>
                <w:rPr>
                  <w:rFonts w:ascii="Cambria Math" w:eastAsia="Times New Roman" w:hAnsi="Cambria Math" w:cs="Times New Roman"/>
                  <w:sz w:val="22"/>
                  <w:szCs w:val="22"/>
                  <w:lang w:val="ru-RU" w:eastAsia="en-GB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lang w:eastAsia="en-GB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lang w:eastAsia="en-GB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2"/>
                  <w:szCs w:val="22"/>
                  <w:lang w:val="ru-RU" w:eastAsia="en-GB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2"/>
                      <w:szCs w:val="22"/>
                      <w:lang w:eastAsia="en-GB"/>
                    </w:rPr>
                    <m:t>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lang w:eastAsia="en-GB"/>
                    </w:rPr>
                    <m:t>k</m:t>
                  </m:r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lang w:val="ru-RU" w:eastAsia="en-GB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lang w:eastAsia="en-GB"/>
                    </w:rPr>
                    <m:t>n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2"/>
              <w:szCs w:val="22"/>
              <w:lang w:val="ru-RU" w:eastAsia="en-GB"/>
            </w:rPr>
            <m:t xml:space="preserve">,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2"/>
                  <w:szCs w:val="22"/>
                  <w:lang w:eastAsia="en-GB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k</m:t>
              </m:r>
            </m:sub>
          </m:sSub>
          <m:r>
            <w:rPr>
              <w:rFonts w:ascii="Cambria Math" w:eastAsia="Times New Roman" w:hAnsi="Cambria Math" w:cs="Times New Roman"/>
              <w:sz w:val="22"/>
              <w:szCs w:val="22"/>
              <w:lang w:val="ru-RU" w:eastAsia="en-GB"/>
            </w:rPr>
            <m:t xml:space="preserve">= </m:t>
          </m:r>
          <m:nary>
            <m:naryPr>
              <m:chr m:val="∑"/>
              <m:limLoc m:val="subSup"/>
              <m:ctrlPr>
                <w:rPr>
                  <w:rFonts w:ascii="Cambria Math" w:eastAsia="Times New Roman" w:hAnsi="Cambria Math" w:cs="Times New Roman"/>
                  <w:i/>
                  <w:sz w:val="22"/>
                  <w:szCs w:val="22"/>
                  <w:lang w:eastAsia="en-GB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n</m:t>
              </m:r>
              <m:r>
                <w:rPr>
                  <w:rFonts w:ascii="Cambria Math" w:eastAsia="Times New Roman" w:hAnsi="Cambria Math" w:cs="Times New Roman"/>
                  <w:sz w:val="22"/>
                  <w:szCs w:val="22"/>
                  <w:lang w:val="ru-RU" w:eastAsia="en-GB"/>
                </w:rPr>
                <m:t>=0</m:t>
              </m:r>
            </m:sub>
            <m:sup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N</m:t>
              </m:r>
              <m:r>
                <w:rPr>
                  <w:rFonts w:ascii="Cambria Math" w:eastAsia="Times New Roman" w:hAnsi="Cambria Math" w:cs="Times New Roman"/>
                  <w:sz w:val="22"/>
                  <w:szCs w:val="22"/>
                  <w:lang w:val="ru-RU" w:eastAsia="en-GB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lang w:eastAsia="en-GB"/>
                    </w:rPr>
                    <m:t>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lang w:eastAsia="en-GB"/>
                    </w:rPr>
                    <m:t>n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2"/>
              <w:szCs w:val="22"/>
              <w:lang w:val="ru-RU" w:eastAsia="en-GB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2"/>
                  <w:szCs w:val="22"/>
                  <w:lang w:eastAsia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Φ</m:t>
              </m:r>
            </m:e>
            <m:sub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k</m:t>
              </m:r>
              <m:r>
                <w:rPr>
                  <w:rFonts w:ascii="Cambria Math" w:eastAsia="Times New Roman" w:hAnsi="Cambria Math" w:cs="Times New Roman"/>
                  <w:sz w:val="22"/>
                  <w:szCs w:val="22"/>
                  <w:lang w:val="ru-RU" w:eastAsia="en-GB"/>
                </w:rPr>
                <m:t>,</m:t>
              </m:r>
              <m:r>
                <w:rPr>
                  <w:rFonts w:ascii="Cambria Math" w:eastAsia="Times New Roman" w:hAnsi="Cambria Math" w:cs="Times New Roman"/>
                  <w:sz w:val="22"/>
                  <w:szCs w:val="22"/>
                  <w:lang w:eastAsia="en-GB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sz w:val="22"/>
              <w:szCs w:val="22"/>
              <w:lang w:val="ru-RU" w:eastAsia="en-GB"/>
            </w:rPr>
            <m:t xml:space="preserve"> </m:t>
          </m:r>
        </m:oMath>
      </m:oMathPara>
    </w:p>
    <w:p w14:paraId="5D9BA0FA" w14:textId="77777777" w:rsidR="005D0B46" w:rsidRPr="00271598" w:rsidRDefault="005D0B46" w:rsidP="005D0B46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– коефіцієнти розкладання,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2"/>
                <w:szCs w:val="22"/>
                <w:lang w:eastAsia="en-GB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k</m:t>
            </m:r>
            <m:r>
              <w:rPr>
                <w:rFonts w:ascii="Cambria Math" w:eastAsia="Times New Roman" w:hAnsi="Cambria Math" w:cs="Times New Roman"/>
                <w:sz w:val="22"/>
                <w:szCs w:val="22"/>
                <w:lang w:val="ru-RU" w:eastAsia="en-GB"/>
              </w:rPr>
              <m:t>,</m:t>
            </m:r>
            <m: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n</m:t>
            </m:r>
          </m:sub>
        </m:sSub>
      </m:oMath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– ортогональна система дискретних функцій. </w:t>
      </w:r>
    </w:p>
    <w:p w14:paraId="1C7BE17C" w14:textId="1F0FB1E7" w:rsidR="0095099F" w:rsidRPr="00271598" w:rsidRDefault="005D0B46" w:rsidP="005D0B46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Найважливішим питанням у випадку розкладання функції </w:t>
      </w:r>
      <m:oMath>
        <m:r>
          <w:rPr>
            <w:rFonts w:ascii="Cambria Math" w:eastAsia="Times New Roman" w:hAnsi="Cambria Math" w:cs="Times New Roman"/>
            <w:sz w:val="22"/>
            <w:szCs w:val="22"/>
            <w:lang w:eastAsia="en-GB"/>
          </w:rPr>
          <m:t>φ</m:t>
        </m:r>
        <m:d>
          <m:dPr>
            <m:ctrlPr>
              <w:rPr>
                <w:rFonts w:ascii="Cambria Math" w:eastAsia="Times New Roman" w:hAnsi="Cambria Math" w:cs="Times New Roman"/>
                <w:i/>
                <w:sz w:val="22"/>
                <w:szCs w:val="22"/>
                <w:lang w:eastAsia="en-GB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2"/>
                <w:szCs w:val="22"/>
                <w:lang w:eastAsia="en-GB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2"/>
            <w:szCs w:val="22"/>
            <w:lang w:val="ru-RU" w:eastAsia="en-GB"/>
          </w:rPr>
          <m:t xml:space="preserve"> </m:t>
        </m:r>
      </m:oMath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по ортогональному базису залишається вибір раціональної системи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2"/>
            <w:szCs w:val="22"/>
            <w:lang w:eastAsia="en-GB"/>
          </w:rPr>
          <m:t>Φ</m:t>
        </m:r>
        <m:r>
          <w:rPr>
            <w:rFonts w:ascii="Cambria Math" w:eastAsia="Times New Roman" w:hAnsi="Cambria Math" w:cs="Times New Roman"/>
            <w:sz w:val="22"/>
            <w:szCs w:val="22"/>
            <w:lang w:val="ru-RU" w:eastAsia="en-GB"/>
          </w:rPr>
          <m:t>(</m:t>
        </m:r>
        <m:r>
          <w:rPr>
            <w:rFonts w:ascii="Cambria Math" w:eastAsia="Times New Roman" w:hAnsi="Cambria Math" w:cs="Times New Roman"/>
            <w:sz w:val="22"/>
            <w:szCs w:val="22"/>
            <w:lang w:eastAsia="en-GB"/>
          </w:rPr>
          <m:t>k</m:t>
        </m:r>
        <m:r>
          <w:rPr>
            <w:rFonts w:ascii="Cambria Math" w:eastAsia="Times New Roman" w:hAnsi="Cambria Math" w:cs="Times New Roman"/>
            <w:sz w:val="22"/>
            <w:szCs w:val="22"/>
            <w:lang w:val="ru-RU" w:eastAsia="en-GB"/>
          </w:rPr>
          <m:t>,</m:t>
        </m:r>
        <m:r>
          <w:rPr>
            <w:rFonts w:ascii="Cambria Math" w:eastAsia="Times New Roman" w:hAnsi="Cambria Math" w:cs="Times New Roman"/>
            <w:sz w:val="22"/>
            <w:szCs w:val="22"/>
            <w:lang w:eastAsia="en-GB"/>
          </w:rPr>
          <m:t>t</m:t>
        </m:r>
        <m:r>
          <w:rPr>
            <w:rFonts w:ascii="Cambria Math" w:eastAsia="Times New Roman" w:hAnsi="Cambria Math" w:cs="Times New Roman"/>
            <w:sz w:val="22"/>
            <w:szCs w:val="22"/>
            <w:lang w:val="ru-RU" w:eastAsia="en-GB"/>
          </w:rPr>
          <m:t>)</m:t>
        </m:r>
      </m:oMath>
      <w:r w:rsidRPr="00271598">
        <w:rPr>
          <w:rFonts w:ascii="Times New Roman" w:eastAsia="Times New Roman" w:hAnsi="Times New Roman" w:cs="Times New Roman"/>
          <w:i/>
          <w:sz w:val="22"/>
          <w:szCs w:val="22"/>
          <w:lang w:val="ru-RU" w:eastAsia="en-GB"/>
        </w:rPr>
        <w:t xml:space="preserve">.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Вирішення цього питання залежить від поставленого завдання. Так під час аналізу і синтезу сигналів, що впливають на лінійні ланцюги, найбільшого поширення набула система гармонійних функцій, яка традиційно розглядається в радіотехніці. Під час розв’язання задачі наближеного розкладання складних сигналів з необхідною точністю при мінімумі членів ряду для представлення безперервних сигналів застосовуються поліноми і функції Лагерра, Лежандра, Чебишева, Ерміта тощо. Для представлення сигналів з точками розриву використовуються кусково-постійні функції Уолша, Хаара, Радемахера. Для дискретизації безперервних сигналів у часі використовується ортогональний ряд Котельникова. Останніми роками для аналізу часових рядів широко використовуються базисні функції типу вейвлетів</w:t>
      </w:r>
      <w:r w:rsidR="0047651B"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.</w:t>
      </w:r>
    </w:p>
    <w:p w14:paraId="5B8217E5" w14:textId="77777777" w:rsidR="0047651B" w:rsidRDefault="0047651B" w:rsidP="0047651B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793582EC" w14:textId="687494EC" w:rsidR="005D0B46" w:rsidRPr="00271598" w:rsidRDefault="005D0B46" w:rsidP="0047651B">
      <w:pPr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</w:pPr>
      <w:r w:rsidRPr="00271598"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  <w:t>Перетворення Фур’є (</w:t>
      </w:r>
      <w:r w:rsidRPr="005D0B4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Fourier</w:t>
      </w:r>
      <w:r w:rsidRPr="00271598"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  <w:t xml:space="preserve"> </w:t>
      </w:r>
      <w:r w:rsidRPr="005D0B4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Transform</w:t>
      </w:r>
      <w:r w:rsidRPr="00271598"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  <w:t>).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У 1882 році Жозеф Фур’є (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Joseph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Fourier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) довів, що довільну періодичну функцію можна розкласти у ряд періодичних комплексних експоненціальних функцій. Пізніше таке перетворення було узагальнено і на неперіодичні функції. Перетворення Фур’є сигналу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s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(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t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) має вигляд </w:t>
      </w:r>
    </w:p>
    <w:p w14:paraId="65740B5F" w14:textId="31A1D417" w:rsidR="005D0B46" w:rsidRPr="00A76FF0" w:rsidRDefault="005D0B46" w:rsidP="00A76FF0">
      <w:pPr>
        <w:spacing w:line="264" w:lineRule="auto"/>
        <w:ind w:firstLine="567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76FF0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28524EEC" wp14:editId="71452F73">
            <wp:extent cx="2436338" cy="523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9853" cy="5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9FE78" w14:textId="2317DC88" w:rsidR="005D0B46" w:rsidRPr="00A76FF0" w:rsidRDefault="005D0B46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Комплексна функція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S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(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ω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) називається комплексним спектром сигналу і показує набір коливальних компонент сигналу. Знання спектрального складу сигналів є дуже важливим у багатьох областях. Однак перетворення Фур’є має і істотні недоліки. При перетворенні сигналу у частотну область втрачається залежність його властивостей від часу</w:t>
      </w:r>
      <w:r w:rsidRPr="00A76FF0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.</w:t>
      </w:r>
    </w:p>
    <w:p w14:paraId="3F0E281D" w14:textId="3C9CD469" w:rsidR="005D0B46" w:rsidRPr="00A76FF0" w:rsidRDefault="005D0B46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D0B4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Короткотермінове перетворення Фур’є (Short Time Fourier Transform).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Для подолання недоліків перетворення Фур’є була запропонована його модифікація, яка дістала назву короткотермінове перетворення Фур’є. Ця модифікація полягає у тому, що сигнал s(t) перемножується на вагову функцію w(t), яка ковзає вздовж сигналу, зміщуючись у часі</w:t>
      </w:r>
    </w:p>
    <w:p w14:paraId="4CDE95DD" w14:textId="64F1201D" w:rsidR="005D0B46" w:rsidRPr="00A76FF0" w:rsidRDefault="005D0B46" w:rsidP="00A76FF0">
      <w:pPr>
        <w:spacing w:line="264" w:lineRule="auto"/>
        <w:ind w:firstLine="567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76FF0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31868D60" wp14:editId="418C64D8">
            <wp:extent cx="2337619" cy="57179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0517" cy="57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5D2B3" w14:textId="77777777" w:rsidR="005D0B46" w:rsidRPr="00271598" w:rsidRDefault="005D0B46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Тепер спектр сигналу показує не тільки склад його частотних компонент, а й зміну його характеристик з плином часу.</w:t>
      </w:r>
    </w:p>
    <w:p w14:paraId="630CDA5C" w14:textId="7480D1ED" w:rsidR="005D0B46" w:rsidRPr="00271598" w:rsidRDefault="005D0B46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Вагова функція має скінчену тривалість у часі. Тривалість Т вагової функції визначає роздільну здатність короткотермінового аналізу за часом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Δ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Т і частотну роздільну здатність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Δω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, оскільки вони зв’язані перетворенням Фур’є. Відповідно до принципу невизначеності добуток роздільних здатностей аналізу можна поліпшувати до певної межі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sym w:font="Symbol" w:char="F044"/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T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sym w:font="Symbol" w:char="F0B4"/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sym w:font="Symbol" w:char="F044"/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sym w:font="Symbol" w:char="F077"/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sym w:font="Symbol" w:char="F0A3"/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1 4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sym w:font="Symbol" w:char="F070"/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.</w:t>
      </w:r>
    </w:p>
    <w:p w14:paraId="2D605B28" w14:textId="3AF3C2DD" w:rsidR="005D0B46" w:rsidRPr="00271598" w:rsidRDefault="005D0B46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Оскільки тривалість вагової функції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w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(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t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) не змінюється під час аналізу, то роздільні здатністі короткотермінового перетворення Фур’є як по часу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Δ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Т , так і по частоті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Δω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, є незмінними. Така властивість є недоліком короткотермінового перетворення Фур’є, тому що у багатьох предметних областях доцільно використовувати керовані роздільні здатності. </w:t>
      </w:r>
    </w:p>
    <w:p w14:paraId="494AF1D2" w14:textId="77777777" w:rsidR="002705D7" w:rsidRPr="00271598" w:rsidRDefault="002705D7" w:rsidP="002705D7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  <w:t>Обмеженість застосування Фур'є-перетворення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Класичне перетворення Фур'є, як було зазначено раніше, виявляється малоефективним для роботи з нестаціонарними сигналами, для функцій з локальними особливостями, зокрема для імпульсних та цифрових сигналів і зображень. Це пов'язано з тим, що базисна функція рядів Фур'є – синусоїда, визначена на просторі від -∞ до + ∞ і за своєю природою є гладкою і суворо періодичною функцією. Така функція на практиці (в умовах обмеження числа членів ряду або спектра розкладу) принципово не здатна описувати довільні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lastRenderedPageBreak/>
        <w:t xml:space="preserve">сигнали та функції. З позиції точного уявлення перетворенням Фур'є довільних сигналів і функцій можна відзначити цілий ряд його недоліків [1]: </w:t>
      </w:r>
    </w:p>
    <w:p w14:paraId="3DCB1EC6" w14:textId="77777777" w:rsidR="002705D7" w:rsidRPr="00271598" w:rsidRDefault="002705D7" w:rsidP="002705D7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– непридатність до аналізу нестаціонарних сигналів;</w:t>
      </w:r>
    </w:p>
    <w:p w14:paraId="21BC7B9E" w14:textId="77777777" w:rsidR="002705D7" w:rsidRPr="00271598" w:rsidRDefault="002705D7" w:rsidP="002705D7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– перетворення Фур'є навіть для однієї заданої частоти вимагає знання сигналу не тільки в минулому, але і в майбутньому, що є теоретичною абстракцією;</w:t>
      </w:r>
    </w:p>
    <w:p w14:paraId="46A1B3D9" w14:textId="77777777" w:rsidR="002705D7" w:rsidRPr="00271598" w:rsidRDefault="002705D7" w:rsidP="002705D7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– в умовах практично неминучого обмеження числа гармонік або спектра коливань точне відновлення сигналу після прямого і зворотного перетворення Фур'є теоретично (і звичайно практично) неможливо, зокрема, через прояви ефекту Гіббса; </w:t>
      </w:r>
    </w:p>
    <w:p w14:paraId="1AA0DE6D" w14:textId="77777777" w:rsidR="002705D7" w:rsidRPr="00271598" w:rsidRDefault="002705D7" w:rsidP="002705D7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– базисною функцією при розкладанні в ряд Фур'є є гармонійне (синусоїдальне) коливання, яке математично визначено в інтервалі часу від -∞ до + ∞ і має незмінні в часі параметри; </w:t>
      </w:r>
    </w:p>
    <w:p w14:paraId="129098CB" w14:textId="77777777" w:rsidR="002705D7" w:rsidRPr="00271598" w:rsidRDefault="002705D7" w:rsidP="002705D7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– чисельне інтегрування в часовій області від -∞ до + ∞ при прямому перетворенні Фур'є і від -∞ до + ∞ в частотної області при зворотному перетворенні Фур'є зустрічає великі обчислювальні труднощі; </w:t>
      </w:r>
    </w:p>
    <w:p w14:paraId="62AEA922" w14:textId="77777777" w:rsidR="002705D7" w:rsidRPr="00271598" w:rsidRDefault="002705D7" w:rsidP="002705D7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– окремі особливості сигналу (наприклад, розриви або піки) викликають незначні зміни частотного образу сигналу на всьому інтервалі частот від -∞ до + ∞, які «розмазуються» по всій частотній осі, що робить їх виявлення за спектром практично неможливим; </w:t>
      </w:r>
    </w:p>
    <w:p w14:paraId="1F5E651F" w14:textId="77777777" w:rsidR="002705D7" w:rsidRPr="00271598" w:rsidRDefault="002705D7" w:rsidP="002705D7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– синусоїда, як плавна базисна функція, в принципі не може представляти перепади сигналів з нескінченною крутизною, хоча такі сигнали (наприклад, прямокутні імпульси) застосовуються досить широко; </w:t>
      </w:r>
    </w:p>
    <w:p w14:paraId="3339A68B" w14:textId="77777777" w:rsidR="002705D7" w:rsidRPr="00271598" w:rsidRDefault="002705D7" w:rsidP="002705D7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– єдиним пристосуванням до подання швидких змін сигналів, таких як піки або перепади, є різке збільшення числа гармонік, які впливають на форму сигналу і за межами локальних особливостей сигналу; – за складом вищих складових спектра практично неможливо оцінити місце розташування особливостей на часовій залежності сигналу і їх характер; </w:t>
      </w:r>
    </w:p>
    <w:p w14:paraId="18825AD7" w14:textId="77777777" w:rsidR="002705D7" w:rsidRPr="00271598" w:rsidRDefault="002705D7" w:rsidP="002705D7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– для нестаціонарних сигналів труднощі прямого перетворення Фур'є і зворотного перетворення Фур'є (і, відповідно, швидкого перетворення Фур'є) багаторазово зростають. </w:t>
      </w:r>
    </w:p>
    <w:p w14:paraId="34AC4B26" w14:textId="45B6FFDB" w:rsidR="002705D7" w:rsidRPr="00271598" w:rsidRDefault="002705D7" w:rsidP="002705D7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  <w:t>Вейвлет-перетворення (</w:t>
      </w:r>
      <w:r w:rsidRPr="002705D7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Wavelet</w:t>
      </w:r>
      <w:r w:rsidRPr="00271598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  <w:t xml:space="preserve"> </w:t>
      </w:r>
      <w:r w:rsidRPr="002705D7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transform</w:t>
      </w:r>
      <w:r w:rsidRPr="00271598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  <w:t>)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є прогресивним засобом аналізу нестаціонарних сигналів з широким застосуванням в області діагностики. Вейвлет-перетворення є ефективним математичним засобом локалізації та класифікації особливих точок нестаціонарних сигналів і дозволяє проводити аналіз сигналу одночасно в частотній та часовій областях. Завдяки своїй гнучкості та ефективним обчислювальним реалізаціям вейвлети стали одним з найбільш вживаних методів частотно-часового аналізу сигналів. Однак найчастіше на практиці вейвлет-аналіз сигналів виконується без урахування особливостей налаштування вейвлетів, які суттєво впливають на результати перетворення та можливість їх правильної інтерпретації. Застосування вейвлет-перетворення без урахування частотних характеристик вейвлета може давати спотворену інформацію про особливості сигналу, що аналізується. Такий підхід може призвести до неуніверсальності розроблюваних методів в силу того, що при зміні характеристик досліджуваного сигналу застосування одних і тих же налаштувань методу може давати абсолютно непередбачувані результати. Для успішного використання вейвлет-перетворення потрібен ретельний аналіз параметрів материнського вейвлета. Це дозволить гнучко керувати 30 налаштуванням вейвлета для здобуття необхідних властивостей аналізу вейвлетперетворення і правильно інтерпретувати одержувані результати. Таким чином, вейвлети мають явні переваги перед рядами Фур'є, як в загальному і точному поданні функцій так і їх різноманітних локальних особливостях. Вони представлені набагато більш різноманітним набором типів базових функцій, ніж єдина синусоїдальна функція в рядах Фур'є. Ця різноманітність вейвлетів, з одного боку, різко розширює коло розв'язуваних з їх допомогою завдань, а з іншого боку, робить таке рішення творчим.</w:t>
      </w:r>
    </w:p>
    <w:p w14:paraId="4F32AE25" w14:textId="5BE39B42" w:rsidR="00267054" w:rsidRDefault="00A76FF0" w:rsidP="00267054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Поняття вейвлетів було визначено на початку вісімдесятих, синтез ідей, що виникли протягом останніх тридцяти років в техніці, фізиці та чистої математики.</w:t>
      </w:r>
      <w:r w:rsidR="00267054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</w:p>
    <w:p w14:paraId="6F0CA866" w14:textId="7024CF54" w:rsidR="00267054" w:rsidRPr="00271598" w:rsidRDefault="00267054" w:rsidP="00267054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На відміну від перетворення Фур'є, вейвлет-аналіз дозволяє виділяти одночасно як частотну, так і часову компоненти мінливості, тобто дає можливість аналізувати часову зміну частотного спектра процесу.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Таким чином, аналіз та обробка нестаціонарних (в часі) або неоднорідних (в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lastRenderedPageBreak/>
        <w:t>просторі) сигналів різних типів представляють основну область застосування вейвлет-аналізу. Вейвлет-перетворення має рухоме частотно-часове вікно, яке самостійно налаштовується, та однаково добре виявляє як низькочастотні так і високочастотні характеристики сигналу на різних часових масштабах. Вейвлетфільтри дозволяють не тільки боротися з шумами, але і виділяти необхідні компоненти сигналу. Оскільки вейвлети мають добру частотно-часову адаптацію, вони можуть служити зручним інструментом для дослідження частотних характеристик нестаціонарного сигналу.</w:t>
      </w:r>
    </w:p>
    <w:p w14:paraId="7F6923E0" w14:textId="53A5317D" w:rsidR="005D0B46" w:rsidRPr="00271598" w:rsidRDefault="00A76FF0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</w:t>
      </w:r>
      <w:r w:rsidR="005D0B46"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У вейвлет-аналізі у якості опорних використовуються коливальні функції скінченої тривалості і нульовим середнім значенням, які дістали назву вейвлетів (англ. </w:t>
      </w:r>
      <w:r w:rsidR="005D0B46"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wavelet</w:t>
      </w:r>
      <w:r w:rsidR="005D0B46"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— маленька хвиля) [4].</w:t>
      </w:r>
    </w:p>
    <w:p w14:paraId="7E004F25" w14:textId="7F924667" w:rsidR="005D0B46" w:rsidRPr="00271598" w:rsidRDefault="005D0B46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Вейвлет-перетворення сигналу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x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(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t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) описується співвідношенням</w:t>
      </w:r>
    </w:p>
    <w:p w14:paraId="107B95B3" w14:textId="25704307" w:rsidR="005D0B46" w:rsidRPr="00A76FF0" w:rsidRDefault="005D0B46" w:rsidP="00A76FF0">
      <w:pPr>
        <w:spacing w:line="264" w:lineRule="auto"/>
        <w:ind w:firstLine="567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76FF0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5EC82FF8" wp14:editId="4089EBAB">
            <wp:extent cx="2544097" cy="545164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4043" cy="55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0A86" w14:textId="77777777" w:rsidR="00A76FF0" w:rsidRPr="00A76FF0" w:rsidRDefault="005D0B46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76FF0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де </w:t>
      </w:r>
      <w:r w:rsidR="00A76FF0" w:rsidRPr="00A76FF0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6926025" wp14:editId="087F17A7">
            <wp:extent cx="1206500" cy="368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— опорна вейвлет-функція; ψ(t) — материнська функція; τ, s — параметри масштабування і зсуву. Опорні функції вейвлет-аналізу — вейвлети отримують розтягуванням (стискуванням) і зміщенням у часі основної опорної функції, так званої материнської функції (англ. mother function). </w:t>
      </w:r>
    </w:p>
    <w:p w14:paraId="6E77B624" w14:textId="77777777" w:rsidR="00A76FF0" w:rsidRPr="00A76FF0" w:rsidRDefault="005D0B46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D0B4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Перетворення Уігнера (Wigner Distribution).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Перетворення Уіґнера сигналу s(t) визначається формулою </w:t>
      </w:r>
    </w:p>
    <w:p w14:paraId="019385D2" w14:textId="69A72B2A" w:rsidR="00A76FF0" w:rsidRPr="00A76FF0" w:rsidRDefault="00A76FF0" w:rsidP="00A76FF0">
      <w:pPr>
        <w:spacing w:line="264" w:lineRule="auto"/>
        <w:ind w:firstLine="567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76FF0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4D2FD88D" wp14:editId="7BE0D6F5">
            <wp:extent cx="2750574" cy="553370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775" cy="56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B1366" w14:textId="77777777" w:rsidR="00A76FF0" w:rsidRPr="00271598" w:rsidRDefault="005D0B46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Перетворення Уіґнера є нелінійним перетворенням сигналу і тому забезпечує високу частотно-часову роздільну здатність, але частотно-часове представлення багатокомпонентних сигналів містить перехресні складові (англ. 446 cross-terms), обумовлені нелінійним характером перетворення.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Ці складові знижують роздільну здатність, затемнюють корисний сигнал і тим самим утруднюють правильну інтерпретацію отриманих даних. </w:t>
      </w:r>
    </w:p>
    <w:p w14:paraId="6841710F" w14:textId="77777777" w:rsidR="00A76FF0" w:rsidRPr="00271598" w:rsidRDefault="005D0B46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  <w:t>Перетворення Гільберта-Хуанга (</w:t>
      </w:r>
      <w:r w:rsidRPr="005D0B4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Hilbert</w:t>
      </w:r>
      <w:r w:rsidRPr="00271598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  <w:t>-</w:t>
      </w:r>
      <w:r w:rsidRPr="005D0B4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Huang</w:t>
      </w:r>
      <w:r w:rsidRPr="00271598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  <w:t xml:space="preserve"> </w:t>
      </w:r>
      <w:r w:rsidRPr="005D0B4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Transform</w:t>
      </w:r>
      <w:r w:rsidRPr="00271598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  <w:t>).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Перетворення Гілберта-Хуанга складається з двох етапів. На першому етапі за допомогою метода емпіричної декомпозиції мод (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Empirical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Mode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Decomposition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) сигнал розкладається на складові, які називаються власними внутрішніми коливаннями (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Intrinsic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Mode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Function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(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IMF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)). Після цього, на другому етапі за допомогою перетворення Гілберта на їх основі визначається спектр сигналу у частотно-часовій області. Власні внутрішні коливання, на які розкладається аналізований сигнал, мають відповідати таким вимогам: </w:t>
      </w:r>
    </w:p>
    <w:p w14:paraId="2CA2024F" w14:textId="6014477D" w:rsidR="00A76FF0" w:rsidRPr="00271598" w:rsidRDefault="005D0B46" w:rsidP="00A76FF0">
      <w:pPr>
        <w:pStyle w:val="a9"/>
        <w:numPr>
          <w:ilvl w:val="0"/>
          <w:numId w:val="1"/>
        </w:num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кількість екстремумів і кількість переходів через нуль мають бути або однаковими,</w:t>
      </w:r>
      <w:r w:rsidR="00A76FF0" w:rsidRPr="00A76FF0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або відрізнятися не більше, ніж на одиницю; </w:t>
      </w:r>
    </w:p>
    <w:p w14:paraId="3F8B5CF7" w14:textId="0C7CE71F" w:rsidR="00A76FF0" w:rsidRPr="00271598" w:rsidRDefault="005D0B46" w:rsidP="00A76FF0">
      <w:pPr>
        <w:pStyle w:val="a9"/>
        <w:numPr>
          <w:ilvl w:val="0"/>
          <w:numId w:val="1"/>
        </w:num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обвідна кожного власного внутрішнього коливання має нульове середнє значення у будь-якій точці. </w:t>
      </w:r>
    </w:p>
    <w:p w14:paraId="1861E5C6" w14:textId="77777777" w:rsidR="00A76FF0" w:rsidRPr="00271598" w:rsidRDefault="005D0B46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Перетворення Гілберта кожного власного внутрішнього коливання, яке здійснюється на другому етапі перетворень, визначається формулою </w:t>
      </w:r>
    </w:p>
    <w:p w14:paraId="50F64B03" w14:textId="77777777" w:rsidR="00A76FF0" w:rsidRPr="00271598" w:rsidRDefault="00A76FF0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</w:p>
    <w:p w14:paraId="40E174E2" w14:textId="77777777" w:rsidR="00A76FF0" w:rsidRPr="00A76FF0" w:rsidRDefault="00A76FF0" w:rsidP="00A76FF0">
      <w:pPr>
        <w:spacing w:line="264" w:lineRule="auto"/>
        <w:ind w:firstLine="567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76FF0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60FD13DB" wp14:editId="16A3CB73">
            <wp:extent cx="1777181" cy="563068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7479" cy="59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8D95C" w14:textId="77777777" w:rsidR="00A76FF0" w:rsidRPr="00271598" w:rsidRDefault="005D0B46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де P — головне значення інтеграла Коші (Cauchy principal value).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На основі перетворення Гілберта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y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(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t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) сигналу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x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(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t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) отримуємо аналітичний сигнал</w:t>
      </w:r>
    </w:p>
    <w:p w14:paraId="06225401" w14:textId="77777777" w:rsidR="00A76FF0" w:rsidRPr="00A76FF0" w:rsidRDefault="00A76FF0" w:rsidP="00A76FF0">
      <w:pPr>
        <w:spacing w:line="264" w:lineRule="auto"/>
        <w:ind w:firstLine="567"/>
        <w:jc w:val="center"/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</w:pPr>
      <w:r w:rsidRPr="00A76FF0">
        <w:rPr>
          <w:rFonts w:ascii="Times New Roman" w:eastAsia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1AA5C6EF" wp14:editId="642C11EE">
            <wp:extent cx="2421302" cy="435078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8540" cy="44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CA284" w14:textId="1A14AE08" w:rsidR="00A76FF0" w:rsidRPr="00A76FF0" w:rsidRDefault="00A76FF0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76FF0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де</w:t>
      </w:r>
      <w:r w:rsidR="005D0B46"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</w:p>
    <w:p w14:paraId="5310536C" w14:textId="6FF2FED2" w:rsidR="00A76FF0" w:rsidRPr="00A76FF0" w:rsidRDefault="00A76FF0" w:rsidP="00A76FF0">
      <w:pPr>
        <w:spacing w:line="264" w:lineRule="auto"/>
        <w:ind w:firstLine="567"/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A76FF0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5826B49A" wp14:editId="7A454029">
            <wp:extent cx="3517490" cy="433189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4146" cy="4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25748" w14:textId="36541758" w:rsidR="005D0B46" w:rsidRPr="005D0B46" w:rsidRDefault="005D0B46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Функцію a(t) називають миттєвою амплітудою, а 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sym w:font="Symbol" w:char="F06A"/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sym w:font="Symbol" w:char="F028"/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>t</w:t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sym w:font="Symbol" w:char="F029"/>
      </w:r>
      <w:r w:rsidRPr="005D0B46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— миттєвою фазою</w:t>
      </w:r>
    </w:p>
    <w:p w14:paraId="21F9D15F" w14:textId="07E1F02C" w:rsidR="0095099F" w:rsidRPr="00A76FF0" w:rsidRDefault="0095099F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79F00A64" w14:textId="3B2FCB92" w:rsidR="00DD72AA" w:rsidRPr="002705D7" w:rsidRDefault="00DD72AA" w:rsidP="00DD72AA">
      <w:pPr>
        <w:spacing w:line="264" w:lineRule="auto"/>
        <w:ind w:firstLine="567"/>
        <w:jc w:val="both"/>
        <w:rPr>
          <w:rFonts w:ascii="ff5" w:eastAsia="Times New Roman" w:hAnsi="ff5" w:cs="Times New Roman"/>
          <w:color w:val="000000"/>
          <w:sz w:val="72"/>
          <w:szCs w:val="72"/>
          <w:lang w:val="uk-UA" w:eastAsia="en-GB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  <w:t xml:space="preserve">Висновки: </w:t>
      </w:r>
      <w:r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Наведені основні методи частотно-часового аналізу сигналів.</w:t>
      </w:r>
      <w:r w:rsidR="002705D7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 xml:space="preserve"> Приведені недоліки застосування </w:t>
      </w:r>
      <w:r w:rsidR="002705D7"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Фур'є-перетворенн</w:t>
      </w:r>
      <w:r w:rsidR="002705D7"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  <w:t>ь.</w:t>
      </w:r>
    </w:p>
    <w:p w14:paraId="2528EE2D" w14:textId="77777777" w:rsidR="00DD72AA" w:rsidRPr="00271598" w:rsidRDefault="00DD72AA" w:rsidP="00DD72AA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en-GB"/>
        </w:rPr>
      </w:pPr>
    </w:p>
    <w:p w14:paraId="7E0F672A" w14:textId="7FEB1E22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  <w:t xml:space="preserve">Список використаних джерел </w:t>
      </w:r>
    </w:p>
    <w:p w14:paraId="2FF5C380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 </w:t>
      </w:r>
    </w:p>
    <w:p w14:paraId="0259C81E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1. Хорошко В. О. Пошук та локалізація радіозакладних пристроїв : навчальний посібник / В. О. Хорошко, </w:t>
      </w:r>
    </w:p>
    <w:p w14:paraId="495EC65E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О. Д. Азаров, Максименко Г. О., Яремчук Ю. Є ; ВНТУ. – Вінниця, 2007. – 333 с. </w:t>
      </w:r>
    </w:p>
    <w:p w14:paraId="53ECE914" w14:textId="77777777" w:rsidR="00DD72AA" w:rsidRPr="00DD72AA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D72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2.  Бартків  Н.  І.  Методи  та  локалізація  джерел  несанкціонованого  випромінювання  /  Н.  І.  Бартків, </w:t>
      </w:r>
    </w:p>
    <w:p w14:paraId="42B68872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І. М. Коротєєв // Захист інформації. – 2009. – № 3. – С. 68–73. </w:t>
      </w:r>
    </w:p>
    <w:p w14:paraId="6F9D51A2" w14:textId="77777777" w:rsidR="00DD72AA" w:rsidRPr="00DD72AA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D72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3.  Иванов  М. А. 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Применение вейвлет-преобразований   в  кодировании изображений  /  М.  </w:t>
      </w:r>
      <w:r w:rsidRPr="00DD72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А.  Иванов  // </w:t>
      </w:r>
    </w:p>
    <w:p w14:paraId="015193FD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Новые информационные технологии  в науке и образовании. – 2004. – №24. – С. 157–175. </w:t>
      </w:r>
    </w:p>
    <w:p w14:paraId="31A7062F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DD72A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4.  Д’яконов  В.,  Авраменкова  І.  </w:t>
      </w: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Обработка  сигналов  и  изображений  /  В.  Д’яконов,  І.  Авраменкова  // </w:t>
      </w:r>
    </w:p>
    <w:p w14:paraId="6FA51888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Специальный справочник. – Спб.: Питер, 2002. – 608 с. </w:t>
      </w:r>
    </w:p>
    <w:p w14:paraId="2BAB0E7C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5. Кобелев В.Ю. Выбор оптимальных  вейвлетов для обрабоки сигналов и изображений / В. Ю.Кобелев, </w:t>
      </w:r>
    </w:p>
    <w:p w14:paraId="5C576AA9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А. В. Ласточкин // Труды 2-й международной конференции «Цифровая обработка сигналов и ее приминения».-</w:t>
      </w:r>
    </w:p>
    <w:p w14:paraId="20A3B767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М., 1999 – Т.2. – С. 514 – 518. </w:t>
      </w:r>
    </w:p>
    <w:p w14:paraId="43BFB45F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6. Яковлев А. Н. Введение в вейвлет-преобразование / А. Н. Яковлев // Учебное пособие. – Новосибирск: </w:t>
      </w:r>
    </w:p>
    <w:p w14:paraId="2C778511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изд-во НГТУ, 2003. –104 с. </w:t>
      </w:r>
    </w:p>
    <w:p w14:paraId="0038ADE1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 xml:space="preserve">7. Проценко М. М. Методика вибору вейвлет-функції для обробки цифрових сигналів / М. М. Проценко //  </w:t>
      </w:r>
    </w:p>
    <w:p w14:paraId="197335E8" w14:textId="77777777" w:rsidR="00DD72AA" w:rsidRPr="00271598" w:rsidRDefault="00DD72AA" w:rsidP="00DD72A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271598"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  <w:t>Вісник ЖДТУ. – Житомир, ЖДТУ, 2009. – №49. – С.97-100.</w:t>
      </w:r>
    </w:p>
    <w:p w14:paraId="01C7867B" w14:textId="73E7BC5A" w:rsidR="0095099F" w:rsidRPr="00DD72AA" w:rsidRDefault="0095099F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uk-UA" w:eastAsia="en-GB"/>
        </w:rPr>
      </w:pPr>
    </w:p>
    <w:p w14:paraId="3F136874" w14:textId="669AF9B6" w:rsidR="0095099F" w:rsidRPr="00A76FF0" w:rsidRDefault="0095099F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626AB792" w14:textId="331150EE" w:rsidR="0095099F" w:rsidRDefault="0095099F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3A5A7BB9" w14:textId="3C494A10" w:rsidR="0095099F" w:rsidRDefault="0095099F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62AB2A31" w14:textId="5B7E8698" w:rsidR="0095099F" w:rsidRDefault="0095099F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1FFE6B88" w14:textId="7E7012F9" w:rsidR="0095099F" w:rsidRDefault="0095099F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2C94E11B" w14:textId="668C8C04" w:rsidR="0095099F" w:rsidRDefault="0095099F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38E47309" w14:textId="2F1DE43B" w:rsidR="0095099F" w:rsidRDefault="0095099F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28C97B9C" w14:textId="5497D0C9" w:rsidR="0095099F" w:rsidRDefault="0095099F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5F3182F0" w14:textId="09791BD0" w:rsidR="0095099F" w:rsidRPr="00271598" w:rsidRDefault="0095099F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</w:pPr>
    </w:p>
    <w:p w14:paraId="062CC040" w14:textId="7DD807E0" w:rsidR="0095099F" w:rsidRDefault="0095099F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63B31828" w14:textId="68B29311" w:rsidR="0095099F" w:rsidRDefault="0095099F" w:rsidP="00A76FF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25C0D988" w14:textId="7265EE86" w:rsidR="0095099F" w:rsidRDefault="0095099F" w:rsidP="00971D80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 w:eastAsia="en-GB"/>
        </w:rPr>
      </w:pPr>
    </w:p>
    <w:p w14:paraId="3DCFD45A" w14:textId="77777777" w:rsidR="00C53040" w:rsidRPr="00CC29A4" w:rsidRDefault="00C53040" w:rsidP="005D0B46">
      <w:pPr>
        <w:spacing w:line="264" w:lineRule="auto"/>
        <w:jc w:val="both"/>
        <w:rPr>
          <w:lang w:val="uk-UA"/>
        </w:rPr>
      </w:pPr>
    </w:p>
    <w:sectPr w:rsidR="00C53040" w:rsidRPr="00CC29A4" w:rsidSect="00F153A0">
      <w:footerReference w:type="even" r:id="rId15"/>
      <w:footerReference w:type="default" r:id="rId16"/>
      <w:pgSz w:w="11900" w:h="16840"/>
      <w:pgMar w:top="1134" w:right="1361" w:bottom="1701" w:left="102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43970" w14:textId="77777777" w:rsidR="00FC37A3" w:rsidRDefault="00FC37A3" w:rsidP="00F153A0">
      <w:r>
        <w:separator/>
      </w:r>
    </w:p>
  </w:endnote>
  <w:endnote w:type="continuationSeparator" w:id="0">
    <w:p w14:paraId="427BC5B8" w14:textId="77777777" w:rsidR="00FC37A3" w:rsidRDefault="00FC37A3" w:rsidP="00F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f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62851998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33F3B5A" w14:textId="7E3D5855" w:rsidR="00F153A0" w:rsidRDefault="00F153A0" w:rsidP="00741B1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9719619" w14:textId="77777777" w:rsidR="00F153A0" w:rsidRDefault="00F153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38811689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7FD0C69" w14:textId="6BDE775B" w:rsidR="00F153A0" w:rsidRDefault="00F153A0" w:rsidP="00741B1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271598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0F36E3AB" w14:textId="77777777" w:rsidR="00F153A0" w:rsidRDefault="00F153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06B91" w14:textId="77777777" w:rsidR="00FC37A3" w:rsidRDefault="00FC37A3" w:rsidP="00F153A0">
      <w:r>
        <w:separator/>
      </w:r>
    </w:p>
  </w:footnote>
  <w:footnote w:type="continuationSeparator" w:id="0">
    <w:p w14:paraId="41A83609" w14:textId="77777777" w:rsidR="00FC37A3" w:rsidRDefault="00FC37A3" w:rsidP="00F1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1F8F"/>
    <w:multiLevelType w:val="hybridMultilevel"/>
    <w:tmpl w:val="C61E01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794BC9"/>
    <w:multiLevelType w:val="hybridMultilevel"/>
    <w:tmpl w:val="588C806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3BE205C"/>
    <w:multiLevelType w:val="hybridMultilevel"/>
    <w:tmpl w:val="5A82B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645B2"/>
    <w:multiLevelType w:val="hybridMultilevel"/>
    <w:tmpl w:val="EFF65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40"/>
    <w:rsid w:val="0000671C"/>
    <w:rsid w:val="00151005"/>
    <w:rsid w:val="00267054"/>
    <w:rsid w:val="002705D7"/>
    <w:rsid w:val="00271598"/>
    <w:rsid w:val="002E686E"/>
    <w:rsid w:val="00472739"/>
    <w:rsid w:val="0047651B"/>
    <w:rsid w:val="005D0B46"/>
    <w:rsid w:val="00603426"/>
    <w:rsid w:val="007431B6"/>
    <w:rsid w:val="007B6158"/>
    <w:rsid w:val="007D546A"/>
    <w:rsid w:val="0080202F"/>
    <w:rsid w:val="00836901"/>
    <w:rsid w:val="0095099F"/>
    <w:rsid w:val="00971D80"/>
    <w:rsid w:val="00A13132"/>
    <w:rsid w:val="00A76FF0"/>
    <w:rsid w:val="00BA1A25"/>
    <w:rsid w:val="00C53040"/>
    <w:rsid w:val="00CC29A4"/>
    <w:rsid w:val="00D95EA0"/>
    <w:rsid w:val="00DD72AA"/>
    <w:rsid w:val="00E327FD"/>
    <w:rsid w:val="00F153A0"/>
    <w:rsid w:val="00F4332A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CE48"/>
  <w15:chartTrackingRefBased/>
  <w15:docId w15:val="{41D81C9A-ABB2-0D41-9237-6A7DB9D7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3A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3A0"/>
  </w:style>
  <w:style w:type="paragraph" w:styleId="a5">
    <w:name w:val="footer"/>
    <w:basedOn w:val="a"/>
    <w:link w:val="a6"/>
    <w:uiPriority w:val="99"/>
    <w:unhideWhenUsed/>
    <w:rsid w:val="00F153A0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3A0"/>
  </w:style>
  <w:style w:type="character" w:styleId="a7">
    <w:name w:val="page number"/>
    <w:basedOn w:val="a0"/>
    <w:uiPriority w:val="99"/>
    <w:semiHidden/>
    <w:unhideWhenUsed/>
    <w:rsid w:val="00F153A0"/>
  </w:style>
  <w:style w:type="character" w:styleId="a8">
    <w:name w:val="Placeholder Text"/>
    <w:basedOn w:val="a0"/>
    <w:uiPriority w:val="99"/>
    <w:semiHidden/>
    <w:rsid w:val="00971D80"/>
    <w:rPr>
      <w:color w:val="808080"/>
    </w:rPr>
  </w:style>
  <w:style w:type="paragraph" w:styleId="a9">
    <w:name w:val="List Paragraph"/>
    <w:basedOn w:val="a"/>
    <w:uiPriority w:val="34"/>
    <w:qFormat/>
    <w:rsid w:val="0015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2121</Words>
  <Characters>12095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Sasha</cp:lastModifiedBy>
  <cp:revision>2</cp:revision>
  <dcterms:created xsi:type="dcterms:W3CDTF">2020-10-11T11:24:00Z</dcterms:created>
  <dcterms:modified xsi:type="dcterms:W3CDTF">2020-10-11T11:24:00Z</dcterms:modified>
</cp:coreProperties>
</file>